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120"/>
        <w:jc w:val="start"/>
        <w:rPr/>
      </w:pPr>
      <w:r>
        <w:rPr/>
        <w:t>SOAP2 Getting Started Guide</w:t>
      </w:r>
    </w:p>
    <w:p>
      <w:pPr>
        <w:pStyle w:val="BodyText"/>
        <w:bidi w:val="0"/>
        <w:jc w:val="start"/>
        <w:rPr/>
      </w:pPr>
      <w:r>
        <w:rPr>
          <w:rStyle w:val="Emphasis"/>
        </w:rPr>
        <w:t>A practical walkthrough of the Options Analysis Platform for Interactive Brokers</w:t>
      </w:r>
    </w:p>
    <w:p>
      <w:pPr>
        <w:pStyle w:val="BodyText"/>
        <w:bidi w:val="0"/>
        <w:jc w:val="start"/>
        <w:rPr/>
      </w:pPr>
      <w:r>
        <w:rPr/>
        <w:t>SOAP2 ("Simple Options Analysis Platform") is a Windows desktop companion for live options trading on Interactive Brokers. It connects to your existing TWS or IB Gateway session to give you live options chains, a combined chain/model/risk-graph workspace, volatility tools, and a trade log — but it never holds funds or sends orders on its own. Every order is prepared in SOAP2 and reviewed/transmitted from TWS, under your control.</w:t>
      </w:r>
    </w:p>
    <w:p>
      <w:pPr>
        <w:pStyle w:val="BlockQuotation"/>
        <w:bidi w:val="0"/>
        <w:jc w:val="start"/>
        <w:rPr/>
      </w:pPr>
      <w:r>
        <w:rPr/>
        <w:t>SOAP2 is not affiliated with, endorsed by, or sponsored by Interactive Brokers. It does not provide backtesting or strategy optimization, and nothing here is investment advice.</w:t>
      </w:r>
    </w:p>
    <w:p>
      <w:pPr>
        <w:pStyle w:val="HorizontalLine"/>
        <w:bidi w:val="0"/>
        <w:jc w:val="start"/>
        <w:rPr/>
      </w:pPr>
      <w:r>
        <w:rPr/>
      </w:r>
    </w:p>
    <w:p>
      <w:pPr>
        <w:pStyle w:val="Heading2"/>
        <w:bidi w:val="0"/>
        <w:jc w:val="start"/>
        <w:rPr/>
      </w:pPr>
      <w:r>
        <w:rPr/>
        <w:t>1. Before You Install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>
          <w:rStyle w:val="Strong"/>
        </w:rPr>
        <w:t>An Interactive Brokers account</w:t>
      </w:r>
      <w:r>
        <w:rPr/>
        <w:t xml:space="preserve">, with TWS or IB Gateway installed and able to log in. 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>
          <w:rStyle w:val="Strong"/>
        </w:rPr>
        <w:t>Windows 10/11 (64-bit)</w:t>
      </w:r>
      <w:r>
        <w:rPr/>
        <w:t xml:space="preserve"> — SOAP2 is Windows-only. 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Basic familiarity with options (strikes, expiries, the Greeks). No coding or config-file editing is required. 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 xml:space="preserve">Check the </w:t>
      </w:r>
      <w:r>
        <w:fldChar w:fldCharType="begin"/>
      </w:r>
      <w:r>
        <w:rPr>
          <w:rStyle w:val="Hyperlink"/>
        </w:rPr>
        <w:instrText xml:space="preserve"> HYPERLINK "https://soap2.pages.dev/docs/index.md.html" \l "installation-prerequisites"</w:instrText>
      </w:r>
      <w:r>
        <w:rPr>
          <w:rStyle w:val="Hyperlink"/>
        </w:rPr>
        <w:fldChar w:fldCharType="separate"/>
      </w:r>
      <w:r>
        <w:rPr>
          <w:rStyle w:val="Hyperlink"/>
        </w:rPr>
        <w:t>installation prerequisites</w:t>
      </w:r>
      <w:r>
        <w:rPr>
          <w:rStyle w:val="Hyperlink"/>
        </w:rPr>
        <w:fldChar w:fldCharType="end"/>
      </w:r>
      <w:r>
        <w:rPr/>
        <w:t xml:space="preserve"> on the SOAP2 docs site before you download. </w:t>
      </w:r>
    </w:p>
    <w:p>
      <w:pPr>
        <w:pStyle w:val="Heading2"/>
        <w:bidi w:val="0"/>
        <w:jc w:val="start"/>
        <w:rPr/>
      </w:pPr>
      <w:r>
        <w:rPr/>
        <w:t>2. Install and Connect to IB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Download the installer (</w:t>
      </w:r>
      <w:r>
        <w:rPr>
          <w:rStyle w:val="SourceText"/>
        </w:rPr>
        <w:t>.msi</w:t>
      </w:r>
      <w:r>
        <w:rPr/>
        <w:t xml:space="preserve">, via a small </w:t>
      </w:r>
      <w:r>
        <w:rPr>
          <w:rStyle w:val="SourceText"/>
        </w:rPr>
        <w:t>setup.exe</w:t>
      </w:r>
      <w:r>
        <w:rPr/>
        <w:t xml:space="preserve"> bootstrapper) from the SOAP2 site and run it.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Start TWS or IB Gateway and log in as normal.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Launch SOAP2. The IB connection process is automatic and generally needs no extra configuration — SOAP2 finds your running TWS/Gateway session.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 xml:space="preserve">Your active edition (Free Trial, Freeware, Regular, Premium) is shown in the SOAP2 </w:t>
      </w:r>
      <w:r>
        <w:rPr>
          <w:rStyle w:val="Strong"/>
        </w:rPr>
        <w:t>message log</w:t>
      </w:r>
      <w:r>
        <w:rPr/>
        <w:t xml:space="preserve"> every time it starts. </w:t>
      </w:r>
    </w:p>
    <w:p>
      <w:pPr>
        <w:pStyle w:val="BodyText"/>
        <w:bidi w:val="0"/>
        <w:jc w:val="start"/>
        <w:rPr/>
      </w:pPr>
      <w:r>
        <w:rPr/>
        <w:t>If you manage several IB accounts, log in with the managing account — SOAP2 automatically matches every sub-account into its Accounts List, with a live Account Summary/Positions/Family Codes view and an Acct/Pos Multi tool for querying by account or allocation code. This is available on every edition.</w:t>
      </w:r>
    </w:p>
    <w:p>
      <w:pPr>
        <w:pStyle w:val="Heading2"/>
        <w:bidi w:val="0"/>
        <w:jc w:val="start"/>
        <w:rPr/>
      </w:pPr>
      <w:r>
        <w:rPr/>
        <w:t>3. Set Up Your Watchlist</w:t>
      </w:r>
    </w:p>
    <w:p>
      <w:pPr>
        <w:pStyle w:val="BodyText"/>
        <w:bidi w:val="0"/>
        <w:jc w:val="start"/>
        <w:rPr/>
      </w:pPr>
      <w:r>
        <w:rPr/>
        <w:t>Add the underlyings you want to trade options on. The Free tier is limited (Freeware is capped at SPY, IWM, QQQ); Regular and Premium give you a larger or unlimited watchlist. Once a symbol is added you get live quotes and Market Maker pricing — the latter is particularly useful outside regular trading hours — and you can open an Options Analysis window for any symbol in one click.</w:t>
      </w:r>
    </w:p>
    <w:p>
      <w:pPr>
        <w:pStyle w:val="Heading2"/>
        <w:bidi w:val="0"/>
        <w:jc w:val="start"/>
        <w:rPr/>
      </w:pPr>
      <w:r>
        <w:rPr/>
        <w:t>4. The Options Analysis (OA) Window — Your Main Workspace</w:t>
      </w:r>
    </w:p>
    <w:p>
      <w:pPr>
        <w:pStyle w:val="BodyText"/>
        <w:bidi w:val="0"/>
        <w:jc w:val="start"/>
        <w:rPr/>
      </w:pPr>
      <w:r>
        <w:rPr/>
        <w:t xml:space="preserve">Everything in SOAP2 centers on the </w:t>
      </w:r>
      <w:r>
        <w:rPr>
          <w:rStyle w:val="Strong"/>
        </w:rPr>
        <w:t>OA window</w:t>
      </w:r>
      <w:r>
        <w:rPr/>
        <w:t>: chain, pricing model, and risk graph together, so you're not juggling spreadsheets or browser tabs while you work an idea.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>
          <w:rStyle w:val="Strong"/>
        </w:rPr>
        <w:t>Chain:</w:t>
      </w:r>
      <w:r>
        <w:rPr/>
        <w:t xml:space="preserve"> calls and puts aligned by strike, with bid/ask/mark, volume, open interest, IV, and Greeks. Data is populated fastest around the strikes you're actually viewing, in order to respect IB's pacing limits.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>
          <w:rStyle w:val="Strong"/>
        </w:rPr>
        <w:t>Model:</w:t>
      </w:r>
      <w:r>
        <w:rPr/>
        <w:t xml:space="preserve"> build a hypothetical ("what-if") position alongside anything you've already recorded.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>
          <w:rStyle w:val="Strong"/>
        </w:rPr>
        <w:t>Risk graph:</w:t>
      </w:r>
      <w:r>
        <w:rPr/>
        <w:t xml:space="preserve"> P&amp;L visualization for recorded positions, modeled legs, or both, with T+0 time-decay curves and Greek overlays.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>
          <w:rStyle w:val="Strong"/>
        </w:rPr>
        <w:t>Combo order sensitivity:</w:t>
      </w:r>
      <w:r>
        <w:rPr/>
        <w:t xml:space="preserve"> before sending a combo order, a rotatable 3D surface (with a fill-boundary line and click-to-inspect readouts) shows how far the underlying and IV need to move for your limit price to become marketable. Available on every edition. </w:t>
      </w:r>
    </w:p>
    <w:p>
      <w:pPr>
        <w:pStyle w:val="BodyText"/>
        <w:bidi w:val="0"/>
        <w:jc w:val="start"/>
        <w:rPr/>
      </w:pPr>
      <w:r>
        <w:rPr/>
        <w:t>New symbols come preconfigured, but underlying-specific settings are user-configurable if you want to tune them.</w:t>
      </w:r>
    </w:p>
    <w:p>
      <w:pPr>
        <w:pStyle w:val="Heading2"/>
        <w:bidi w:val="0"/>
        <w:jc w:val="start"/>
        <w:rPr/>
      </w:pPr>
      <w:r>
        <w:rPr/>
        <w:t>5. Trade Log &amp; Reporting</w:t>
      </w:r>
    </w:p>
    <w:p>
      <w:pPr>
        <w:pStyle w:val="BodyText"/>
        <w:bidi w:val="0"/>
        <w:jc w:val="start"/>
        <w:rPr/>
      </w:pPr>
      <w:r>
        <w:rPr/>
        <w:t>Record trades per account, allocate executions from IB fills, and review performance in the Trade Report. This is also your main troubleshooting reference if a position looks off.</w:t>
      </w:r>
    </w:p>
    <w:p>
      <w:pPr>
        <w:pStyle w:val="Heading2"/>
        <w:bidi w:val="0"/>
        <w:jc w:val="start"/>
        <w:rPr/>
      </w:pPr>
      <w:r>
        <w:rPr/>
        <w:t>6. Expiry &amp; Trading-Class Calendar</w:t>
      </w:r>
    </w:p>
    <w:p>
      <w:pPr>
        <w:pStyle w:val="BodyText"/>
        <w:bidi w:val="0"/>
        <w:jc w:val="start"/>
        <w:rPr/>
      </w:pPr>
      <w:r>
        <w:rPr/>
        <w:t>A dedicated calendar handles expiry selection, with automatic trading-class and AM/PM settlement resolution for US index products — one less thing to get wrong on quarterly/monthly index expiries.</w:t>
      </w:r>
    </w:p>
    <w:p>
      <w:pPr>
        <w:pStyle w:val="Heading2"/>
        <w:bidi w:val="0"/>
        <w:jc w:val="start"/>
        <w:rPr/>
      </w:pPr>
      <w:r>
        <w:rPr/>
        <w:t>7. Editions at a Glance</w:t>
      </w:r>
    </w:p>
    <w:tbl>
      <w:tblPr>
        <w:tblW w:w="9972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1334"/>
        <w:gridCol w:w="1719"/>
        <w:gridCol w:w="6919"/>
      </w:tblGrid>
      <w:tr>
        <w:trPr>
          <w:tblHeader w:val="true"/>
        </w:trPr>
        <w:tc>
          <w:tcPr>
            <w:tcW w:w="1334" w:type="dxa"/>
            <w:tcBorders/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>Edition</w:t>
            </w:r>
          </w:p>
        </w:tc>
        <w:tc>
          <w:tcPr>
            <w:tcW w:w="1719" w:type="dxa"/>
            <w:tcBorders/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>Price (Early Bird)</w:t>
            </w:r>
          </w:p>
        </w:tc>
        <w:tc>
          <w:tcPr>
            <w:tcW w:w="6919" w:type="dxa"/>
            <w:tcBorders/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>Notes</w:t>
            </w:r>
          </w:p>
        </w:tc>
      </w:tr>
      <w:tr>
        <w:trPr/>
        <w:tc>
          <w:tcPr>
            <w:tcW w:w="133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>
                <w:rStyle w:val="Strong"/>
              </w:rPr>
              <w:t>Free Trial</w:t>
            </w:r>
          </w:p>
        </w:tc>
        <w:tc>
          <w:tcPr>
            <w:tcW w:w="171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Free until Oct 1, 2026</w:t>
            </w:r>
          </w:p>
        </w:tc>
        <w:tc>
          <w:tcPr>
            <w:tcW w:w="691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Every feature, including Premium, unlocked — no registration needed</w:t>
            </w:r>
          </w:p>
        </w:tc>
      </w:tr>
      <w:tr>
        <w:trPr/>
        <w:tc>
          <w:tcPr>
            <w:tcW w:w="133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>
                <w:rStyle w:val="Strong"/>
              </w:rPr>
              <w:t>Freeware</w:t>
            </w:r>
          </w:p>
        </w:tc>
        <w:tc>
          <w:tcPr>
            <w:tcW w:w="171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Free, permanent</w:t>
            </w:r>
          </w:p>
        </w:tc>
        <w:tc>
          <w:tcPr>
            <w:tcW w:w="691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Core features only; watchlist capped at SPY/IWM/QQQ; no Premium features</w:t>
            </w:r>
          </w:p>
        </w:tc>
      </w:tr>
      <w:tr>
        <w:trPr/>
        <w:tc>
          <w:tcPr>
            <w:tcW w:w="133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>
                <w:rStyle w:val="Strong"/>
              </w:rPr>
              <w:t>Regular</w:t>
            </w:r>
          </w:p>
        </w:tc>
        <w:tc>
          <w:tcPr>
            <w:tcW w:w="171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~€15/mo or ~€150/yr</w:t>
            </w:r>
          </w:p>
        </w:tc>
        <w:tc>
          <w:tcPr>
            <w:tcW w:w="691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Full non-Premium feature set, single user</w:t>
            </w:r>
          </w:p>
        </w:tc>
      </w:tr>
      <w:tr>
        <w:trPr/>
        <w:tc>
          <w:tcPr>
            <w:tcW w:w="133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>
                <w:rStyle w:val="Strong"/>
              </w:rPr>
              <w:t>Premium</w:t>
            </w:r>
          </w:p>
        </w:tc>
        <w:tc>
          <w:tcPr>
            <w:tcW w:w="171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~€37.50/mo or ~€375/yr</w:t>
            </w:r>
          </w:p>
        </w:tc>
        <w:tc>
          <w:tcPr>
            <w:tcW w:w="691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Adds Rewind, Volatility Surface, HSkew/VSkew, GEX/VEX, regime tools, FA tools; single user</w:t>
            </w:r>
          </w:p>
        </w:tc>
      </w:tr>
      <w:tr>
        <w:trPr/>
        <w:tc>
          <w:tcPr>
            <w:tcW w:w="133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>
                <w:rStyle w:val="Strong"/>
              </w:rPr>
              <w:t>WhiteLabel</w:t>
            </w:r>
          </w:p>
        </w:tc>
        <w:tc>
          <w:tcPr>
            <w:tcW w:w="171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Custom</w:t>
            </w:r>
          </w:p>
        </w:tc>
        <w:tc>
          <w:tcPr>
            <w:tcW w:w="691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For mentors/group leaders (20+ users); full + Premium features, custom branding, members register individually at a discount</w:t>
            </w:r>
          </w:p>
        </w:tc>
      </w:tr>
    </w:tbl>
    <w:p>
      <w:pPr>
        <w:pStyle w:val="BodyText"/>
        <w:bidi w:val="0"/>
        <w:jc w:val="start"/>
        <w:rPr/>
      </w:pPr>
      <w:r>
        <w:rPr/>
        <w:t>Registration is required on every edition once the trial ends; Regular/Premium checkout is self-serve (Paddle), and your license key arrives by email. Early-bird pricing locks in for as long as your subscription stays active.</w:t>
      </w:r>
    </w:p>
    <w:p>
      <w:pPr>
        <w:pStyle w:val="Heading2"/>
        <w:bidi w:val="0"/>
        <w:jc w:val="start"/>
        <w:rPr/>
      </w:pPr>
      <w:r>
        <w:rPr/>
        <w:t>8. Premium Feature Tour</w:t>
      </w:r>
    </w:p>
    <w:p>
      <w:pPr>
        <w:pStyle w:val="BodyText"/>
        <w:bidi w:val="0"/>
        <w:jc w:val="start"/>
        <w:rPr/>
      </w:pPr>
      <w:r>
        <w:rPr/>
        <w:t>If you're on (or trialing) Premium, these are the tools layered on top of the core workspace: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>
          <w:rStyle w:val="Strong"/>
        </w:rPr>
        <w:t>Rewind:</w:t>
      </w:r>
      <w:r>
        <w:rPr/>
        <w:t xml:space="preserve"> step an OA window back to a past date/time to review historical prices, Greeks, IV, and the risk graph from a trade's start onward. This is a review tool, not a backtester.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>
          <w:rStyle w:val="Strong"/>
        </w:rPr>
        <w:t>Volatility Surface:</w:t>
      </w:r>
      <w:r>
        <w:rPr/>
        <w:t xml:space="preserve"> a poly-fit implied-vol surface across strikes and expiries, with RMSE/R² fit quality and a solver toggle for fast iteration.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>
          <w:rStyle w:val="Strong"/>
        </w:rPr>
        <w:t>HSkew &amp; VSkew:</w:t>
      </w:r>
      <w:r>
        <w:rPr/>
        <w:t xml:space="preserve"> horizontal (term-structure) and vertical (strike) skew curves for the current expiry, with a 1-day/2-day/1-week-ago historical overlay to see how skew has shifted.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>
          <w:rStyle w:val="Strong"/>
        </w:rPr>
        <w:t>GEX/VEX:</w:t>
      </w:r>
      <w:r>
        <w:rPr/>
        <w:t xml:space="preserve"> per-strike dealer Gamma and Vanna exposure computed live from your own IB feed, plus the expected "flip" level — SPX/RUT only for now.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>
          <w:rStyle w:val="Strong"/>
        </w:rPr>
        <w:t>CBOE GEX/VEX:</w:t>
      </w:r>
      <w:r>
        <w:rPr/>
        <w:t xml:space="preserve"> a second view sourced from CBOE's delayed quotes covering the whole SPX chain in one snapshot, with 0DTE/1DTE/EOM/Monthly-OPEX/Aggregate modes and a Gamma Change subchart.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>
          <w:rStyle w:val="Strong"/>
        </w:rPr>
        <w:t>Sticky-Strike / Sticky-Delta regime:</w:t>
      </w:r>
      <w:r>
        <w:rPr/>
        <w:t xml:space="preserve"> a day-by-day read on whether SPX's vol surface is behaving range-bound (sticky-strike) or trending (sticky-delta), with an early reversal flag.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>
          <w:rStyle w:val="Strong"/>
        </w:rPr>
        <w:t>Dispersion/correlation regime:</w:t>
      </w:r>
      <w:r>
        <w:rPr/>
        <w:t xml:space="preserve"> tracks index-vs-constituent behavior (implied correlation, dispersion, relative performance) to flag a crowded dispersion trade starting to unwind.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>
          <w:rStyle w:val="Strong"/>
        </w:rPr>
        <w:t>Financial Advisor tools:</w:t>
      </w:r>
      <w:r>
        <w:rPr/>
        <w:t xml:space="preserve"> for IB FA logins, a panel for aliases, allocation groups, and allocation profiles that reads/writes the same config as TWS's own Advisor Setup. </w:t>
      </w:r>
    </w:p>
    <w:p>
      <w:pPr>
        <w:pStyle w:val="Heading2"/>
        <w:bidi w:val="0"/>
        <w:jc w:val="start"/>
        <w:rPr/>
      </w:pPr>
      <w:r>
        <w:rPr/>
        <w:t>9. Bonus: Tracking Your Own Risk-Metrics Framework</w:t>
      </w:r>
    </w:p>
    <w:p>
      <w:pPr>
        <w:pStyle w:val="BodyText"/>
        <w:bidi w:val="0"/>
        <w:jc w:val="start"/>
        <w:rPr/>
      </w:pPr>
      <w:r>
        <w:rPr/>
        <w:t xml:space="preserve">SOAP2's focus is per-position and per-chain analysis — it doesn't currently ship an account-wide risk dashboard. Until it does, you can track your own three ratios manually from the IB TWS </w:t>
      </w:r>
      <w:r>
        <w:rPr>
          <w:rStyle w:val="Strong"/>
        </w:rPr>
        <w:t>Account/Margin panel</w:t>
      </w:r>
      <w:r>
        <w:rPr/>
        <w:t>:</w:t>
      </w:r>
    </w:p>
    <w:tbl>
      <w:tblPr>
        <w:tblW w:w="9972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1886"/>
        <w:gridCol w:w="2999"/>
        <w:gridCol w:w="5087"/>
      </w:tblGrid>
      <w:tr>
        <w:trPr>
          <w:tblHeader w:val="true"/>
        </w:trPr>
        <w:tc>
          <w:tcPr>
            <w:tcW w:w="1886" w:type="dxa"/>
            <w:tcBorders/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>Ratio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>Formula</w:t>
            </w:r>
          </w:p>
        </w:tc>
        <w:tc>
          <w:tcPr>
            <w:tcW w:w="5087" w:type="dxa"/>
            <w:tcBorders/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>Watch level</w:t>
            </w:r>
          </w:p>
        </w:tc>
      </w:tr>
      <w:tr>
        <w:trPr/>
        <w:tc>
          <w:tcPr>
            <w:tcW w:w="188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MtE (Margin to Equity)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Maintenance Margin ÷ Net Liquidation</w:t>
            </w:r>
          </w:p>
        </w:tc>
        <w:tc>
          <w:tcPr>
            <w:tcW w:w="508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Keep under 50% (conservative-moderate); above 70% risks a margin call</w:t>
            </w:r>
          </w:p>
        </w:tc>
      </w:tr>
      <w:tr>
        <w:trPr/>
        <w:tc>
          <w:tcPr>
            <w:tcW w:w="188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Equity/Vega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Net Liquidation ÷ portfolio Vega</w:t>
            </w:r>
          </w:p>
        </w:tc>
        <w:tc>
          <w:tcPr>
            <w:tcW w:w="508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Keep above 100; 150–200+ is the safer zone</w:t>
            </w:r>
          </w:p>
        </w:tc>
      </w:tr>
      <w:tr>
        <w:trPr/>
        <w:tc>
          <w:tcPr>
            <w:tcW w:w="188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Margin/Theta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Maintenance Margin ÷ portfolio Theta</w:t>
            </w:r>
          </w:p>
        </w:tc>
        <w:tc>
          <w:tcPr>
            <w:tcW w:w="508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Aim near 100 (capital efficiency, not a hard ceiling)</w:t>
            </w:r>
          </w:p>
        </w:tc>
      </w:tr>
    </w:tbl>
    <w:p>
      <w:pPr>
        <w:pStyle w:val="BodyText"/>
        <w:bidi w:val="0"/>
        <w:jc w:val="start"/>
        <w:rPr/>
      </w:pPr>
      <w:r>
        <w:rPr/>
        <w:t>Net Liquidation, Maintenance Margin, Excess Liquidity, and portfolio Vega/Theta are all visible in the same TWS panel. For a conservative stress check, model P&amp;L at underlying moves of roughly -12%/+10%, and add a buffer for IB's volatility-driven margin component even when trading RegT.</w:t>
      </w:r>
    </w:p>
    <w:p>
      <w:pPr>
        <w:pStyle w:val="Heading2"/>
        <w:bidi w:val="0"/>
        <w:jc w:val="start"/>
        <w:rPr/>
      </w:pPr>
      <w:r>
        <w:rPr/>
        <w:t>10. Getting Help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In-app </w:t>
      </w:r>
      <w:r>
        <w:rPr>
          <w:rStyle w:val="Strong"/>
        </w:rPr>
        <w:t>Help button</w:t>
      </w:r>
      <w:r>
        <w:rPr/>
        <w:t xml:space="preserve">, or Help → SOAP → Send Feedback.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Email: soap.2.bv@gmail.com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hyperlink r:id="rId2">
        <w:r>
          <w:rPr>
            <w:rStyle w:val="Hyperlink"/>
          </w:rPr>
          <w:t>SOAP2 Slack community</w:t>
        </w:r>
      </w:hyperlink>
      <w:r>
        <w:rPr/>
        <w:t xml:space="preserve">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hyperlink r:id="rId3">
        <w:r>
          <w:rPr>
            <w:rStyle w:val="Hyperlink"/>
          </w:rPr>
          <w:t>Full documentation site</w:t>
        </w:r>
      </w:hyperlink>
      <w:r>
        <w:rPr/>
        <w:t xml:space="preserve"> and </w:t>
      </w:r>
      <w:hyperlink r:id="rId4">
        <w:r>
          <w:rPr>
            <w:rStyle w:val="Hyperlink"/>
          </w:rPr>
          <w:t>keyboard shortcuts</w:t>
        </w:r>
      </w:hyperlink>
      <w:r>
        <w:rPr/>
        <w:t xml:space="preserve">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hyperlink r:id="rId5">
        <w:r>
          <w:rPr>
            <w:rStyle w:val="Hyperlink"/>
          </w:rPr>
          <w:t>Release notes</w:t>
        </w:r>
      </w:hyperlink>
      <w:r>
        <w:rPr/>
        <w:t xml:space="preserve"> — SOAP2 checks for updates silently at startup </w:t>
      </w:r>
    </w:p>
    <w:p>
      <w:pPr>
        <w:pStyle w:val="Heading2"/>
        <w:bidi w:val="0"/>
        <w:jc w:val="start"/>
        <w:rPr/>
      </w:pPr>
      <w:r>
        <w:rPr/>
        <w:t>11. Go Deeper</w:t>
      </w:r>
    </w:p>
    <w:p>
      <w:pPr>
        <w:pStyle w:val="BodyText"/>
        <w:bidi w:val="0"/>
        <w:jc w:val="start"/>
        <w:rPr/>
      </w:pPr>
      <w:r>
        <w:rPr/>
        <w:t>SOAP2 publishes its own first-party materials that go further than this guide with real screenshots: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hyperlink r:id="rId6">
        <w:r>
          <w:rPr>
            <w:rStyle w:val="Hyperlink"/>
          </w:rPr>
          <w:t>Initial Walk-Through</w:t>
        </w:r>
      </w:hyperlink>
      <w:r>
        <w:rPr/>
        <w:t xml:space="preserve"> — screenshot-led guide to your first trade, from opening the OA window to committing a model (also available as a </w:t>
      </w:r>
      <w:hyperlink r:id="rId7">
        <w:r>
          <w:rPr>
            <w:rStyle w:val="Hyperlink"/>
          </w:rPr>
          <w:t>Word document</w:t>
        </w:r>
      </w:hyperlink>
      <w:r>
        <w:rPr/>
        <w:t xml:space="preserve">) 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hyperlink r:id="rId8">
        <w:r>
          <w:rPr>
            <w:rStyle w:val="Hyperlink"/>
          </w:rPr>
          <w:t>Full YouTube tutorial playlist</w:t>
        </w:r>
      </w:hyperlink>
      <w:r>
        <w:rPr/>
        <w:t xml:space="preserve"> — installing, IB connection, watchlist, live quotes, OA window tour, trade log, settings, and SMTP alerts, each as a short video </w:t>
      </w:r>
    </w:p>
    <w:p>
      <w:pPr>
        <w:pStyle w:val="BodyText"/>
        <w:bidi w:val="0"/>
        <w:jc w:val="start"/>
        <w:rPr/>
      </w:pPr>
      <w:r>
        <w:rPr/>
        <w:t>This guide is a map of the terrain; those are the turn-by-turn directions.</w:t>
      </w:r>
    </w:p>
    <w:p>
      <w:pPr>
        <w:pStyle w:val="Normal"/>
        <w:bidi w:val="0"/>
        <w:jc w:val="start"/>
        <w:rPr/>
      </w:pPr>
      <w:r>
        <w:rPr/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Mono">
    <w:altName w:val="Courier New"/>
    <w:charset w:val="00" w:characterSet="windows-1252"/>
    <w:family w:val="modern"/>
    <w:pitch w:val="fixed"/>
  </w:font>
  <w:font w:name="Liberation Sans">
    <w:altName w:val="Arial"/>
    <w:charset w:val="00" w:characterSet="windows-1252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7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spacing w:before="240" w:after="120"/>
      <w:outlineLvl w:val="0"/>
    </w:pPr>
    <w:rPr>
      <w:rFonts w:ascii="Liberation Serif" w:hAnsi="Liberation Serif" w:eastAsia="NSimSun" w:cs="Arial"/>
      <w:b/>
      <w:bCs/>
      <w:sz w:val="48"/>
      <w:szCs w:val="48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SimSun" w:cs="Arial"/>
      <w:b/>
      <w:bCs/>
      <w:sz w:val="36"/>
      <w:szCs w:val="36"/>
    </w:rPr>
  </w:style>
  <w:style w:type="character" w:styleId="Emphasis">
    <w:name w:val="Emphasis"/>
    <w:qFormat/>
    <w:rPr>
      <w:i/>
      <w:i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Strong">
    <w:name w:val="Strong"/>
    <w:qFormat/>
    <w:rPr>
      <w:b/>
      <w:bCs/>
    </w:rPr>
  </w:style>
  <w:style w:type="character" w:styleId="Hyperlink">
    <w:name w:val="Hyperlink"/>
    <w:rPr>
      <w:color w:val="000080"/>
      <w:u w:val="single"/>
    </w:rPr>
  </w:style>
  <w:style w:type="character" w:styleId="NumberingSymbols">
    <w:name w:val="Numbering Symbols"/>
    <w:qFormat/>
    <w:rPr/>
  </w:style>
  <w:style w:type="character" w:styleId="SourceText">
    <w:name w:val="Source Text"/>
    <w:qFormat/>
    <w:rPr>
      <w:rFonts w:ascii="Liberation Mono" w:hAnsi="Liberation Mono" w:eastAsia="NSimSun" w:cs="Liberation Mono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lockQuotation">
    <w:name w:val="Block Quotation"/>
    <w:basedOn w:val="Normal"/>
    <w:qFormat/>
    <w:pPr>
      <w:spacing w:before="0" w:after="283"/>
      <w:ind w:hanging="0" w:start="567" w:end="567"/>
    </w:pPr>
    <w:rPr/>
  </w:style>
  <w:style w:type="paragraph" w:styleId="HorizontalLine">
    <w:name w:val="Horizontal Line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app.slack.com/client/T552P5XBK/C55N3GHLM" TargetMode="External"/><Relationship Id="rId3" Type="http://schemas.openxmlformats.org/officeDocument/2006/relationships/hyperlink" Target="https://soap2.pages.dev/docs/index.md.html" TargetMode="External"/><Relationship Id="rId4" Type="http://schemas.openxmlformats.org/officeDocument/2006/relationships/hyperlink" Target="https://soap2.pages.dev/docs/keyboard_shortcuts.md.html" TargetMode="External"/><Relationship Id="rId5" Type="http://schemas.openxmlformats.org/officeDocument/2006/relationships/hyperlink" Target="https://soap2.pages.dev/docs/ReleaseNotes.md.html" TargetMode="External"/><Relationship Id="rId6" Type="http://schemas.openxmlformats.org/officeDocument/2006/relationships/hyperlink" Target="https://soap2.pages.dev/docs/initial_walkthrough.md.html" TargetMode="External"/><Relationship Id="rId7" Type="http://schemas.openxmlformats.org/officeDocument/2006/relationships/hyperlink" Target="https://soap2.pages.dev/docs/Initial%20Walk-through.docx" TargetMode="External"/><Relationship Id="rId8" Type="http://schemas.openxmlformats.org/officeDocument/2006/relationships/hyperlink" Target="https://www.youtube.com/playlist?list=PLZ-z8oRgH_vc" TargetMode="Externa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LibreOffice/26.2.5.2$Windows_X86_64 LibreOffice_project/cd7284b4cbbfeb507e630c1aac019f4157393acb</Application>
  <AppVersion>15.0000</AppVersion>
  <Pages>4</Pages>
  <Words>1176</Words>
  <Characters>6466</Characters>
  <CharactersWithSpaces>7570</CharactersWithSpaces>
  <Paragraphs>84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2026-08-25T15:50:25Z</dcterms:created>
  <dc:creator/>
  <dc:description/>
  <dc:language>en-US</dc:language>
  <cp:lastModifiedBy/>
  <dcterms:modified xsi:type="dcterms:W3CDTF">2026-08-25T15:51:32Z</dcterms:modified>
  <cp:revision>1</cp:revision>
  <dc:subject/>
  <dc:title/>
</cp:coreProperties>
</file>