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</w:pPr>
      <w:r>
        <w:t>SOAP2 Volatility Surface — How-To Guide</w:t>
      </w:r>
    </w:p>
    <w:p>
      <w:pPr>
        <w:pStyle w:val="BodyText"/>
      </w:pPr>
      <w:r>
        <w:t>Requires: Premium edition (or the Free Trial, which unlocks every Premium feature until Oct 1, 2026)</w:t>
      </w:r>
    </w:p>
    <w:p>
      <w:pPr>
        <w:pStyle w:val="Heading2"/>
      </w:pPr>
      <w:r>
        <w:t>What Volatility Surface Does</w:t>
      </w:r>
    </w:p>
    <w:p>
      <w:pPr>
        <w:pStyle w:val="BodyText"/>
      </w:pPr>
      <w:r>
        <w:t>Volatility Surface builds a fitted implied-vol surface for a symbol — across strikes and expiries at once, not just one expiry's smile — from live quotes SOAP2 resolves through your own IB connection. This addresses one of Black-Scholes's best-known blind spots: the model assumes a single, constant volatility for every strike and expiry, when real option markets never actually price that way — skew and term structure are real and persistent. You can view the fitted surface as a rotatable 3D chart, switch between the raw resolved points and a smoothed polynomial fit, and optionally have SOAP2 use it (instead of each leg's own flat IV) when it prices your Risk Graph's time-decay curves and Greeks — so a far-OTM or far-dated leg is priced against the smile it actually trades on, not one flat number borrowed from the ATM strike.</w:t>
      </w:r>
    </w:p>
    <w:p>
      <w:pPr>
        <w:pStyle w:val="BlockQuotation"/>
      </w:pPr>
      <w:r>
        <w:t>Important: Volatility Surface is a live-data feature — it doesn't run under Rewind's historical playback. It's only as good as the strikes SOAP2 has actually managed to resolve from IB, not a market-wide vendor surface. And building or rebuilding it takes real time: a fresh fetch pulls option quotes strike by strike and expiry by expiry under IB's own data-pacing limits, so it can take anywhere from several seconds to closer to a minute depending on how many strikes/expiries are in range — widening the strike range or adding a start date/expiry triggers a brand-new fetch, not an instant update.</w:t>
      </w:r>
    </w:p>
    <w:p>
      <w:pPr>
        <w:pStyle w:val="Heading2"/>
      </w:pPr>
      <w:r>
        <w:t>When to Use It</w:t>
      </w:r>
    </w:p>
    <w:p>
      <w:pPr>
        <w:pStyle w:val="BodyText"/>
        <w:numPr>
          <w:ilvl w:val="0"/>
          <w:numId w:val="1"/>
        </w:numPr>
      </w:pPr>
      <w:r>
        <w:t>Sanity-check a quote's IV against what the fitted surface says that strike/expiry should be trading at — the grid shows both (the substituted value in purple, the actual IB/market value on hover), so an outlier is easy to spot.</w:t>
      </w:r>
    </w:p>
    <w:p>
      <w:pPr>
        <w:pStyle w:val="BodyText"/>
        <w:numPr>
          <w:ilvl w:val="0"/>
          <w:numId w:val="1"/>
        </w:numPr>
      </w:pPr>
      <w:r>
        <w:t>Price a hypothetical or open position more realistically: turn on “Use VolSurface” so far-OTM or far-dated legs price off the fitted smile/term structure instead of one flat IV, which is where a flat-IV Risk Graph misleads the most.</w:t>
      </w:r>
    </w:p>
    <w:p>
      <w:pPr>
        <w:pStyle w:val="BodyText"/>
        <w:numPr>
          <w:ilvl w:val="0"/>
          <w:numId w:val="1"/>
        </w:numPr>
      </w:pPr>
      <w:r>
        <w:t>Get a feel for how a symbol's whole smile/term structure is shaped right now, before picking which expiry or strike to trade.</w:t>
      </w:r>
    </w:p>
    <w:p>
      <w:pPr>
        <w:pStyle w:val="Heading2"/>
      </w:pPr>
      <w:r>
        <w:t>How It Fits Your Workflow</w:t>
      </w:r>
    </w:p>
    <w:p>
      <w:pPr>
        <w:pStyle w:val="BodyText"/>
        <w:numPr>
          <w:ilvl w:val="0"/>
          <w:numId w:val="2"/>
        </w:numPr>
      </w:pPr>
      <w:r>
        <w:t>Open the OA window for the symbol — a fit often starts building in the background automatically, so it may already be available by the time you're ready to look at it.</w:t>
      </w:r>
    </w:p>
    <w:p>
      <w:pPr>
        <w:pStyle w:val="BodyText"/>
        <w:numPr>
          <w:ilvl w:val="0"/>
          <w:numId w:val="2"/>
        </w:numPr>
      </w:pPr>
      <w:r>
        <w:t>Open the VS toolbar dropdown to watch it resolve (status line shows progress), then view the live 3D surface once enough points are in; drag to rotate.</w:t>
      </w:r>
    </w:p>
    <w:p>
      <w:pPr>
        <w:pStyle w:val="BodyText"/>
        <w:numPr>
          <w:ilvl w:val="0"/>
          <w:numId w:val="2"/>
        </w:numPr>
      </w:pPr>
      <w:r>
        <w:t>Adjust the start DTE, strike-interval, or moneyness/strike axis from the same dropdown if you want a different range for this symbol — each of these starts a fresh fetch cycle, so give it a moment to re-resolve.</w:t>
      </w:r>
    </w:p>
    <w:p>
      <w:pPr>
        <w:pStyle w:val="BodyText"/>
        <w:numPr>
          <w:ilvl w:val="0"/>
          <w:numId w:val="2"/>
        </w:numPr>
      </w:pPr>
      <w:r>
        <w:t>Check fit quality (R²/RMSE shown in the status line) before trusting it, and switch between the raw resolved surface and the smoothed fit.</w:t>
      </w:r>
    </w:p>
    <w:p>
      <w:pPr>
        <w:pStyle w:val="BodyText"/>
        <w:numPr>
          <w:ilvl w:val="0"/>
          <w:numId w:val="2"/>
        </w:numPr>
      </w:pPr>
      <w:r>
        <w:t>Turn on “Use VolSurface” — click the toolbar button or press Ctrl+V — to feed the fit into the grid IV and the Risk Graph. Press Ctrl+V again (or click it off) to fall back to each leg's own live/flat IV at any time.</w:t>
      </w:r>
    </w:p>
    <w:p>
      <w:pPr>
        <w:pStyle w:val="BodyText"/>
        <w:numPr>
          <w:ilvl w:val="0"/>
          <w:numId w:val="2"/>
        </w:numPr>
      </w:pPr>
      <w:r>
        <w:t>Want a different starting point for every new symbol, not just this one? Set poly-fit degree, strike-ladder breadth, ITM inclusion, and refresh cadence once in General Settings → Vol Surface. Those are the defaults for a symbol that hasn't saved its own VolSurface settings yet — after that, its toolbar dropdown choices take over automatically.</w:t>
      </w:r>
    </w:p>
    <w:p>
      <w:pPr>
        <w:pStyle w:val="Heading2"/>
      </w:pPr>
      <w:r>
        <w:t>Related Premium Tools Worth Pairing With It</w:t>
      </w:r>
    </w:p>
    <w:p>
      <w:pPr>
        <w:pStyle w:val="BodyText"/>
        <w:numPr>
          <w:ilvl w:val="0"/>
          <w:numId w:val="1"/>
        </w:numPr>
      </w:pPr>
      <w:r>
        <w:t>HSkew &amp; VSkew — a zoomed-in, single-expiry read of the same smile, plus a 1-day/2-day/1-week-ago historical overlay that Volatility Surface itself doesn't have.</w:t>
      </w:r>
    </w:p>
    <w:p>
      <w:pPr>
        <w:pStyle w:val="BodyText"/>
        <w:numPr>
          <w:ilvl w:val="0"/>
          <w:numId w:val="1"/>
        </w:numPr>
      </w:pPr>
      <w:r>
        <w:t>GEX/VEX — Volatility Surface tells you the shape of IV; GEX/VEX tells you dealer positioning at each strike. Useful together when choosing where to trade.</w:t>
      </w:r>
    </w:p>
    <w:p>
      <w:pPr>
        <w:pStyle w:val="Heading2"/>
      </w:pPr>
      <w:r>
        <w:t>Learn More</w:t>
      </w:r>
    </w:p>
    <w:p>
      <w:pPr>
        <w:pStyle w:val="BodyText"/>
        <w:numPr>
          <w:ilvl w:val="0"/>
          <w:numId w:val="1"/>
        </w:numPr>
      </w:pPr>
      <w:hyperlink r:id="rId2">
        <w:r>
          <w:rPr>
            <w:rStyle w:val="Hyperlink"/>
          </w:rPr>
          <w:t>Full documentation site</w:t>
        </w:r>
      </w:hyperlink>
    </w:p>
    <w:p>
      <w:pPr>
        <w:pStyle w:val="BodyText"/>
        <w:numPr>
          <w:ilvl w:val="0"/>
          <w:numId w:val="1"/>
        </w:numPr>
      </w:pPr>
      <w:hyperlink r:id="rId3">
        <w:r>
          <w:rPr>
            <w:rStyle w:val="Hyperlink"/>
          </w:rPr>
          <w:t>YouTube tutorial playlist</w:t>
        </w:r>
      </w:hyperlink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lockQuotation">
    <w:name w:val="Block Quotation"/>
    <w:basedOn w:val="Normal"/>
    <w:qFormat/>
    <w:pPr>
      <w:spacing w:before="0" w:after="283"/>
      <w:ind w:hanging="0" w:start="567" w:end="567"/>
    </w:pPr>
    <w:rPr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oap2.pages.dev/docs/index.md.html" TargetMode="External"/><Relationship Id="rId3" Type="http://schemas.openxmlformats.org/officeDocument/2006/relationships/hyperlink" Target="https://www.youtube.com/playlist?list=PLZ-z8oRgH_vc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1</Pages>
  <Words>358</Words>
  <Characters>1702</Characters>
  <CharactersWithSpaces>2049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2026-08-25T15:54:39Z</dcterms:created>
  <dc:creator/>
  <dc:description/>
  <dc:language>en-US</dc:language>
  <cp:lastModifiedBy/>
  <dcterms:modified xsi:type="dcterms:W3CDTF">2026-08-25T15:55:05Z</dcterms:modified>
  <cp:revision>1</cp:revision>
  <dc:subject/>
  <dc:title/>
</cp:coreProperties>
</file>