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</w:pPr>
      <w:r>
        <w:t>SOAP2 Regime Tools — How-To Guide</w:t>
      </w:r>
    </w:p>
    <w:p>
      <w:pPr>
        <w:pStyle w:val="BodyText"/>
      </w:pPr>
      <w:r>
        <w:t>Requires: Free Trial, Premium, or WhiteLabel edition (or Developer mode) — once the Free Trial period ends, Freeware and Regular users lose access.</w:t>
      </w:r>
    </w:p>
    <w:p>
      <w:pPr>
        <w:pStyle w:val="Heading2"/>
      </w:pPr>
      <w:r>
        <w:t>What Regime Tools Does</w:t>
      </w:r>
    </w:p>
    <w:p>
      <w:pPr>
        <w:pStyle w:val="BodyText"/>
      </w:pPr>
      <w:r>
        <w:t>Two background diagnostic dashboards, reachable from the main toolbar’s Data Chart dropdown without any OA window open: Sticky-Strike / Sticky-Delta Regime (SPX only) reads whether SPX’s implied-vol surface is currently behaving sticky-strike (vol pinned to a fixed strike as spot moves — typical of range-bound markets) or sticky-delta (vol riding along with spot at fixed moneyness — typical of trending markets); Dispersion / Correlation Regime reads whether the S&amp;P 500’s index-vs-constituent behavior looks like normal dispersion or a crowded, correlation-driven market where a dispersion trade unwind tends to originate. Both are a read on the market’s current character, not a trade signal by themselves.</w:t>
      </w:r>
    </w:p>
    <w:p>
      <w:pPr>
        <w:pStyle w:val="BlockQuotation"/>
      </w:pPr>
      <w:r>
        <w:t>Important: both are new, actively-refined diagnostics — treat the regime label as directional guidance, not a precise signal. Sticky-Skew’s historical pull reuses one option expiry (nearest 30 days out today) across its whole lookback window, so the effective tenor drifts slightly the further back you look; Dispersion’s DSPX/COR1M indices are relatively young, so there isn’t decades of history yet to calibrate “normal” percentile ranges against.</w:t>
      </w:r>
    </w:p>
    <w:p>
      <w:pPr>
        <w:pStyle w:val="Heading2"/>
      </w:pPr>
      <w:r>
        <w:t>When to Use It</w:t>
      </w:r>
    </w:p>
    <w:p>
      <w:pPr>
        <w:pStyle w:val="BodyText"/>
        <w:numPr>
          <w:ilvl w:val="0"/>
          <w:numId w:val="1"/>
        </w:numPr>
      </w:pPr>
      <w:r>
        <w:t>Getting a same-page read on whether the market is currently range-bound or trending, before deciding how to structure a new position.</w:t>
      </w:r>
    </w:p>
    <w:p>
      <w:pPr>
        <w:pStyle w:val="BodyText"/>
        <w:numPr>
          <w:ilvl w:val="0"/>
          <w:numId w:val="1"/>
        </w:numPr>
      </w:pPr>
      <w:r>
        <w:t>Watching for the Reversal flag on either dashboard — an early-warning signature that tends to precede an actual regime break, not just confirm one already underway.</w:t>
      </w:r>
    </w:p>
    <w:p>
      <w:pPr>
        <w:pStyle w:val="BodyText"/>
        <w:numPr>
          <w:ilvl w:val="0"/>
          <w:numId w:val="1"/>
        </w:numPr>
      </w:pPr>
      <w:r>
        <w:t>Checking dispersion/correlation crowding risk before putting on (or holding) a dispersion-style trade.</w:t>
      </w:r>
    </w:p>
    <w:p>
      <w:pPr>
        <w:pStyle w:val="BodyText"/>
        <w:numPr>
          <w:ilvl w:val="0"/>
          <w:numId w:val="1"/>
        </w:numPr>
      </w:pPr>
      <w:r>
        <w:t>Getting a quick market-structure context check without needing to open an OA for any specific symbol first.</w:t>
      </w:r>
    </w:p>
    <w:p>
      <w:pPr>
        <w:pStyle w:val="Heading2"/>
      </w:pPr>
      <w:r>
        <w:t>Sticky-Strike / Sticky-Delta Regime (SPX)</w:t>
      </w:r>
    </w:p>
    <w:p>
      <w:pPr>
        <w:pStyle w:val="BodyText"/>
      </w:pPr>
      <w:r>
        <w:t>Each trading day, SOAP2 fits a small local skew curve near SPX’s ATM point and records spot, ATM IV, and the local skew slope. Comparing two consecutive days gives a Sticky-Strike Ratio (SSR) — how much of today’s actual ATM IV move is explained by the sticky-strike prediction (reading yesterday’s skew curve at today’s new ATM strike) vs. the sticky-delta prediction (assumes no change). A single day’s SSR is noisy by design, so the dashboard’s headline number is a 5-day rolling average: ≥0.7 reads as Sticky-Strike (range-bound), 0.3–0.7 as Transitional/Mixed, 0–0.3 as Sticky-Delta (trending), and below 0 means the observed move went opposite to the sticky-strike prediction — active skew reshaping/whipsaw, not a clean trending read either. The Reversal flag fires when the rolling SSR is dropping fast while realized volatility is still low — the classic “regime about to break” signature.</w:t>
      </w:r>
    </w:p>
    <w:p>
      <w:pPr>
        <w:pStyle w:val="Heading2"/>
      </w:pPr>
      <w:r>
        <w:t>Dispersion / Correlation Regime</w:t>
      </w:r>
    </w:p>
    <w:p>
      <w:pPr>
        <w:pStyle w:val="BodyText"/>
      </w:pPr>
      <w:r>
        <w:t>SOAP2 tracks five daily series (SPX, SPW equal-weight, DSPX dispersion index, COR1M implied correlation, VVIX) and derives a synthetic constituent-level vol estimate, the SPW/SPX relative return and rolling beta, and percentile ranks for DSPX and COR1M against their own recent history. The regime label is a simple read on those two percentiles: Low Corr/High Disp (benign — constituents moving independently), High Corr/Low Disp (unwind risk — constituents moving together, the environment a crowded dispersion-trade unwind tends to originate from), or Mixed. The Reversal flag fires on a fast correlation-up/dispersion-down move, which can show up before the regime label itself has fully flipped.</w:t>
      </w:r>
    </w:p>
    <w:p>
      <w:pPr>
        <w:pStyle w:val="Heading2"/>
      </w:pPr>
      <w:r>
        <w:t>How It Fits Your Workflow</w:t>
      </w:r>
    </w:p>
    <w:p>
      <w:pPr>
        <w:pStyle w:val="BodyText"/>
        <w:numPr>
          <w:ilvl w:val="0"/>
          <w:numId w:val="2"/>
        </w:numPr>
      </w:pPr>
      <w:r>
        <w:t>Click the Data Chart toolbar button’s dropdown arrow and pick either dashboard — no OA needs to be open first.</w:t>
      </w:r>
    </w:p>
    <w:p>
      <w:pPr>
        <w:pStyle w:val="BodyText"/>
        <w:numPr>
          <w:ilvl w:val="0"/>
          <w:numId w:val="2"/>
        </w:numPr>
      </w:pPr>
      <w:r>
        <w:t>The first open (or whenever there’s less than 10 days of history) triggers a one-time historical pull — Sticky-Skew takes a few minutes (option contracts across ~90 days), Dispersion is a few seconds (five plain index series, ~1 year). A status message tracks progress; after that, reopening either dashboard is instant.</w:t>
      </w:r>
    </w:p>
    <w:p>
      <w:pPr>
        <w:pStyle w:val="BodyText"/>
        <w:numPr>
          <w:ilvl w:val="0"/>
          <w:numId w:val="2"/>
        </w:numPr>
      </w:pPr>
      <w:r>
        <w:t>Read the Regime label and the plain-English interpretation line together, not the raw number alone — especially on Sticky-Skew, where a negative SSR needs the distinct “reshaping” read rather than being lumped in with ordinary Sticky-Delta.</w:t>
      </w:r>
    </w:p>
    <w:p>
      <w:pPr>
        <w:pStyle w:val="BodyText"/>
        <w:numPr>
          <w:ilvl w:val="0"/>
          <w:numId w:val="2"/>
        </w:numPr>
      </w:pPr>
      <w:r>
        <w:t>Watch for the Reversal flag on either dashboard as your earliest signal that the current regime may be about to break.</w:t>
      </w:r>
    </w:p>
    <w:p>
      <w:pPr>
        <w:pStyle w:val="BodyText"/>
        <w:numPr>
          <w:ilvl w:val="0"/>
          <w:numId w:val="2"/>
        </w:numPr>
      </w:pPr>
      <w:r>
        <w:t>Click Refresh on either dashboard to re-run the historical pull and bring the chart current — neither one auto-updates live on its own.</w:t>
      </w:r>
    </w:p>
    <w:p>
      <w:pPr>
        <w:pStyle w:val="Heading2"/>
      </w:pPr>
      <w:r>
        <w:t>Related Tools Worth Pairing With It</w:t>
      </w:r>
    </w:p>
    <w:p>
      <w:pPr>
        <w:pStyle w:val="BodyText"/>
        <w:numPr>
          <w:ilvl w:val="0"/>
          <w:numId w:val="1"/>
        </w:numPr>
      </w:pPr>
      <w:r>
        <w:t>HSkew/VSkew — the regime tools give you a longer-run structural read; HSkew/VSkew show you the actual smile/term-structure shape right now, for the specific symbol and expiry you’re trading.</w:t>
      </w:r>
    </w:p>
    <w:p>
      <w:pPr>
        <w:pStyle w:val="BodyText"/>
        <w:numPr>
          <w:ilvl w:val="0"/>
          <w:numId w:val="1"/>
        </w:numPr>
      </w:pPr>
      <w:r>
        <w:t>GEX/VEX — a sticky-strike, low-dispersion regime often lines up with strong dealer gamma pinning; worth checking both together around OPEX.</w:t>
      </w:r>
    </w:p>
    <w:p>
      <w:pPr>
        <w:pStyle w:val="Heading2"/>
      </w:pPr>
      <w:r>
        <w:t>Learn More</w:t>
      </w:r>
    </w:p>
    <w:p>
      <w:pPr>
        <w:pStyle w:val="BodyText"/>
        <w:numPr>
          <w:ilvl w:val="0"/>
          <w:numId w:val="1"/>
        </w:numPr>
      </w:pPr>
      <w:hyperlink r:id="rId8">
        <w:r>
          <w:rPr>
            <w:rStyle w:val="Hyperlink"/>
          </w:rPr>
          <w:t>Sticky-Strike / Sticky-Delta Regime</w:t>
        </w:r>
      </w:hyperlink>
    </w:p>
    <w:p>
      <w:pPr>
        <w:pStyle w:val="BodyText"/>
        <w:numPr>
          <w:ilvl w:val="0"/>
          <w:numId w:val="1"/>
        </w:numPr>
      </w:pPr>
      <w:hyperlink r:id="rId9">
        <w:r>
          <w:rPr>
            <w:rStyle w:val="Hyperlink"/>
          </w:rPr>
          <w:t>Dispersion / Correlation Regime</w:t>
        </w:r>
      </w:hyperlink>
    </w:p>
    <w:p>
      <w:pPr>
        <w:pStyle w:val="BodyText"/>
        <w:numPr>
          <w:ilvl w:val="0"/>
          <w:numId w:val="1"/>
        </w:numPr>
      </w:pPr>
      <w:hyperlink r:id="rId10">
        <w:r>
          <w:rPr>
            <w:rStyle w:val="Hyperlink"/>
          </w:rPr>
          <w:t>Licensing &amp; Editions</w:t>
        </w:r>
      </w:hyperlink>
    </w:p>
    <w:p>
      <w:pPr>
        <w:pStyle w:val="BodyText"/>
        <w:numPr>
          <w:ilvl w:val="0"/>
          <w:numId w:val="1"/>
        </w:numPr>
      </w:pPr>
      <w:hyperlink r:id="rId3">
        <w:r>
          <w:rPr>
            <w:rStyle w:val="Hyperlink"/>
          </w:rPr>
          <w:t>YouTube tutorial playlist</w:t>
        </w:r>
      </w:hyperlink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yperlink" Target="https://soap2.pages.dev/docs/stickyskew_regime_user_guide.md.html" TargetMode="External"/><Relationship Id="rId9" Type="http://schemas.openxmlformats.org/officeDocument/2006/relationships/hyperlink" Target="https://soap2.pages.dev/docs/dispersion_regime_user_guide.md.html" TargetMode="External"/><Relationship Id="rId10" Type="http://schemas.openxmlformats.org/officeDocument/2006/relationships/hyperlink" Target="https://soap2.pages.dev/docs/licensing_user_guide.md.html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