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</w:pPr>
      <w:r>
        <w:t>SOAP2 Options Chain — How-To Guide</w:t>
      </w:r>
    </w:p>
    <w:p>
      <w:pPr>
        <w:pStyle w:val="Heading2"/>
      </w:pPr>
      <w:r>
        <w:t>Preliminary: SOAP2 is trade-centric</w:t>
      </w:r>
    </w:p>
    <w:p>
      <w:pPr>
        <w:pStyle w:val="BodyText"/>
      </w:pPr>
      <w:r>
        <w:t>Other platforms may offer the user a portfolio view and analysis first, then look into either symbols or accounts, then list trades. SOAP uses a SAT structure (Symbol - Account - Trade). Symbol and Account are determined at top level, where Trade is at Options Chain level.</w:t>
      </w:r>
    </w:p>
    <w:p>
      <w:pPr>
        <w:pStyle w:val="Heading2"/>
      </w:pPr>
      <w:r>
        <w:t>What Options Chain Does</w:t>
      </w:r>
    </w:p>
    <w:p>
      <w:pPr>
        <w:pStyle w:val="BodyText"/>
      </w:pPr>
      <w:r>
        <w:t>The Options Analysis window (OA) is where you actually work an options idea: a live calls/puts chain, a trade workspace for building or reviewing legs, and the analysis tools (skew, risk graph, and for SPX/RUT, GEX/VEX) all in one window, tied to one symbol, one account, and one trade. It's the hub the rest of SOAP2 hangs off — most sessions are spent almost entirely inside one or more OA windows.</w:t>
      </w:r>
    </w:p>
    <w:p>
      <w:pPr>
        <w:pStyle w:val="BlockQuotation"/>
      </w:pPr>
      <w:r>
        <w:t>Important: an OA window only shows what your own IB feed can resolve. Values populate fastest for the strikes currently visible on screen — if you scroll quickly or expand the strike range a lot, expect brief blanks while data subscriptions catch up, especially under IB's own pacing limits.</w:t>
      </w:r>
    </w:p>
    <w:p>
      <w:pPr>
        <w:pStyle w:val="Heading2"/>
      </w:pPr>
      <w:r>
        <w:t>When to Use It</w:t>
      </w:r>
    </w:p>
    <w:p>
      <w:pPr>
        <w:pStyle w:val="BodyText"/>
        <w:numPr>
          <w:ilvl w:val="0"/>
          <w:numId w:val="1"/>
        </w:numPr>
      </w:pPr>
      <w:r>
        <w:t>Scanning a symbol's live chain to find or evaluate a specific strike/expiry before trading it.</w:t>
      </w:r>
    </w:p>
    <w:p>
      <w:pPr>
        <w:pStyle w:val="BodyText"/>
        <w:numPr>
          <w:ilvl w:val="0"/>
          <w:numId w:val="1"/>
        </w:numPr>
      </w:pPr>
      <w:r>
        <w:t>Building a model trade (a “what-if” set of legs) without touching anything already recorded, to see its shape on the risk graph before committing to it.</w:t>
      </w:r>
    </w:p>
    <w:p>
      <w:pPr>
        <w:pStyle w:val="BodyText"/>
        <w:numPr>
          <w:ilvl w:val="0"/>
          <w:numId w:val="1"/>
        </w:numPr>
      </w:pPr>
      <w:r>
        <w:t>Tracking an existing recorded position's live P&amp;L, Greeks, and skew as the market moves.</w:t>
      </w:r>
    </w:p>
    <w:p>
      <w:pPr>
        <w:pStyle w:val="BodyText"/>
        <w:numPr>
          <w:ilvl w:val="0"/>
          <w:numId w:val="1"/>
        </w:numPr>
      </w:pPr>
      <w:r>
        <w:t>Reviewing exposure (GEX/VEX, skew) around a symbol before deciding where on the chain to trade.</w:t>
      </w:r>
    </w:p>
    <w:p>
      <w:pPr>
        <w:pStyle w:val="Heading2"/>
      </w:pPr>
      <w:r>
        <w:t>The OA Toolstrip Menu at a Glance</w:t>
      </w:r>
    </w:p>
    <w:p>
      <w:pPr>
        <w:pStyle w:val="BodyText"/>
      </w:pPr>
      <w:r>
        <w:t>The OA's controls are grouped by what they act on, top to bottom:</w:t>
      </w:r>
    </w:p>
    <w:p>
      <w:pPr>
        <w:pStyle w:val="BodyText"/>
        <w:numPr>
          <w:ilvl w:val="0"/>
          <w:numId w:val="1"/>
        </w:numPr>
      </w:pPr>
      <w:r>
        <w:t>Chain selection — Expiry ▾ (or Ctrl-Right/Ctrl-Left, F1/F2/F3 to jump to specific expiries) picks the expiration; M/W/A filter to Monthly, Weekly, or AM-settled trading class; the strike interval dropdown and its minimum-interval toggle (Ctrl-M) control how many strikes are on screen at once. Alt-Down/Alt-Up show or hide this whole top panel.</w:t>
      </w:r>
    </w:p>
    <w:p>
      <w:pPr>
        <w:pStyle w:val="BodyText"/>
        <w:numPr>
          <w:ilvl w:val="0"/>
          <w:numId w:val="1"/>
        </w:numPr>
      </w:pPr>
      <w:r>
        <w:t>Model and view — Ctrl-D resets chain descriptors to the symbol's defaults (hardly ever needed); Ctrl-T clears the grid back to a new-trade state. Save/Restore model buttons persist and reapply a set of model legs against the matching symbol+expiry+class — restoring only ever offers models valid for the chain currently on screen.</w:t>
      </w:r>
    </w:p>
    <w:p>
      <w:pPr>
        <w:pStyle w:val="BodyText"/>
        <w:numPr>
          <w:ilvl w:val="0"/>
          <w:numId w:val="1"/>
        </w:numPr>
      </w:pPr>
      <w:r>
        <w:t>Risk and analytics — G toggles the Greeks columns; Ctrl-U refreshes the risk graph off whatever's currently in the grid (model legs, recorded position, or both); Ctrl-H requests historical skew data for the skew charts.</w:t>
      </w:r>
    </w:p>
    <w:p>
      <w:pPr>
        <w:pStyle w:val="BodyText"/>
        <w:numPr>
          <w:ilvl w:val="0"/>
          <w:numId w:val="1"/>
        </w:numPr>
      </w:pPr>
      <w:r>
        <w:t>Order and commit — T opens Commit, which turns the current model into a reviewable order set for TWS.</w:t>
      </w:r>
    </w:p>
    <w:p>
      <w:pPr>
        <w:pStyle w:val="BodyText"/>
        <w:numPr>
          <w:ilvl w:val="0"/>
          <w:numId w:val="1"/>
        </w:numPr>
      </w:pPr>
      <w:r>
        <w:t>Data and connectivity — Ctrl-F cancels background contract-definition lookups if one gets stuck (hardly ever needed unless on very slow connections); Ctrl-Q cancels all active data and disconnects — use this one deliberately, not as a first troubleshooting step.</w:t>
      </w:r>
    </w:p>
    <w:p>
      <w:pPr>
        <w:pStyle w:val="BodyText"/>
        <w:numPr>
          <w:ilvl w:val="0"/>
          <w:numId w:val="1"/>
        </w:numPr>
      </w:pPr>
      <w:r>
        <w:t>Underlying — Alt-U toggles the underlying panel, mostly useful for combined positions.</w:t>
      </w:r>
    </w:p>
    <w:p>
      <w:pPr>
        <w:pStyle w:val="BodyText"/>
        <w:numPr>
          <w:ilvl w:val="0"/>
          <w:numId w:val="1"/>
        </w:numPr>
      </w:pPr>
      <w:r>
        <w:t>Advanced — Alt-V reveals hidden diagnostic columns (internal IDs, reqId/ConId mappings), useful if you're reporting a data issue rather than day-to-day.</w:t>
      </w:r>
    </w:p>
    <w:p>
      <w:pPr>
        <w:pStyle w:val="BodyText"/>
      </w:pPr>
      <w:r>
        <w:t>Every icon's tooltip repeats its shortcut, so hovering is a faster way to learn the toolstrip than memorizing this list. The full button-by-button reference (including the toolstrips this guide only summarizes) is linked below under Learn More.</w:t>
      </w:r>
    </w:p>
    <w:p>
      <w:pPr>
        <w:pStyle w:val="Heading2"/>
      </w:pPr>
      <w:r>
        <w:t>How It Fits Your Workflow</w:t>
      </w:r>
    </w:p>
    <w:p>
      <w:pPr>
        <w:pStyle w:val="BodyText"/>
        <w:numPr>
          <w:ilvl w:val="0"/>
          <w:numId w:val="2"/>
        </w:numPr>
      </w:pPr>
      <w:r>
        <w:t>Pick a symbol (and account) on the main window, then open its OA — select it from the Symbols dropdown, Shift+Click “Show Selected OA” for a new window, or reopen one from the OA dropdown list.</w:t>
      </w:r>
    </w:p>
    <w:p>
      <w:pPr>
        <w:pStyle w:val="BodyText"/>
        <w:numPr>
          <w:ilvl w:val="0"/>
          <w:numId w:val="2"/>
        </w:numPr>
      </w:pPr>
      <w:r>
        <w:t>Select expiry and trading class (Expiry ▾ or Ctrl-Right/Ctrl-Left, then M/W/A), and narrow the strike ladder to what you actually want to look at — a tight strike interval keeps both the grid readable and IB's data load down.</w:t>
      </w:r>
    </w:p>
    <w:p>
      <w:pPr>
        <w:pStyle w:val="BodyText"/>
        <w:numPr>
          <w:ilvl w:val="0"/>
          <w:numId w:val="2"/>
        </w:numPr>
      </w:pPr>
      <w:r>
        <w:t>Build a model (add model legs to the calls/puts grid) or select a recorded trade from the OA's own trade dropdown, then press G for Greeks and Ctrl-U to update the risk graph.</w:t>
      </w:r>
    </w:p>
    <w:p>
      <w:pPr>
        <w:pStyle w:val="BodyText"/>
        <w:numPr>
          <w:ilvl w:val="0"/>
          <w:numId w:val="2"/>
        </w:numPr>
      </w:pPr>
      <w:r>
        <w:t>Check the skew charts and, for SPX/RUT, the GEX/VEX tabs to see where dealer positioning and IV shape sit around your strikes.</w:t>
      </w:r>
    </w:p>
    <w:p>
      <w:pPr>
        <w:pStyle w:val="BodyText"/>
        <w:numPr>
          <w:ilvl w:val="0"/>
          <w:numId w:val="2"/>
        </w:numPr>
      </w:pPr>
      <w:r>
        <w:t>When the model is ready, open Commit (T) to turn it into an order set you review in TWS before transmitting — SOAP2 never sends an order on its own.</w:t>
      </w:r>
    </w:p>
    <w:p>
      <w:pPr>
        <w:pStyle w:val="Heading2"/>
      </w:pPr>
      <w:r>
        <w:t>Related Tools Worth Pairing With It</w:t>
      </w:r>
    </w:p>
    <w:p>
      <w:pPr>
        <w:pStyle w:val="BodyText"/>
        <w:numPr>
          <w:ilvl w:val="0"/>
          <w:numId w:val="1"/>
        </w:numPr>
      </w:pPr>
      <w:r>
        <w:t>Volatility Surface (Premium) — lets the Risk Graph and grid price far-OTM/far-dated legs off a fitted smile instead of one flat IV; opens automatically alongside the OA for the same symbol.</w:t>
      </w:r>
    </w:p>
    <w:p>
      <w:pPr>
        <w:pStyle w:val="BodyText"/>
        <w:numPr>
          <w:ilvl w:val="0"/>
          <w:numId w:val="1"/>
        </w:numPr>
      </w:pPr>
      <w:r>
        <w:t>GEX/VEX (Premium, SPX/RUT only) — built into the OA as its own tab, so no extra window is needed to see dealer gamma/vanna exposure next to your chain.</w:t>
      </w:r>
    </w:p>
    <w:p>
      <w:pPr>
        <w:pStyle w:val="BodyText"/>
        <w:numPr>
          <w:ilvl w:val="0"/>
          <w:numId w:val="1"/>
        </w:numPr>
      </w:pPr>
      <w:r>
        <w:t>Commit — the natural next step once a model in the OA is ready to become a real order.</w:t>
      </w:r>
    </w:p>
    <w:p>
      <w:pPr>
        <w:pStyle w:val="BodyText"/>
        <w:numPr>
          <w:ilvl w:val="0"/>
          <w:numId w:val="1"/>
        </w:numPr>
      </w:pPr>
      <w:r>
        <w:t>General Settings → Options Analysis / Strikes &amp; Pricing tabs — the starting defaults (risk-graph reference price, grid font size, short-dated DTE threshold, strike ladder/exchange) applied the first time a symbol opens an OA; once a symbol has its own saved settings, those take over instead.</w:t>
      </w:r>
    </w:p>
    <w:p>
      <w:pPr>
        <w:pStyle w:val="Heading2"/>
      </w:pPr>
      <w:r>
        <w:t>Learn More</w:t>
      </w:r>
    </w:p>
    <w:p>
      <w:pPr>
        <w:pStyle w:val="BodyText"/>
        <w:numPr>
          <w:ilvl w:val="0"/>
          <w:numId w:val="1"/>
        </w:numPr>
      </w:pPr>
      <w:hyperlink r:id="rId8">
        <w:r>
          <w:rPr>
            <w:rStyle w:val="Hyperlink"/>
          </w:rPr>
          <w:t>Full documentation site</w:t>
        </w:r>
      </w:hyperlink>
    </w:p>
    <w:p>
      <w:pPr>
        <w:pStyle w:val="BodyText"/>
        <w:numPr>
          <w:ilvl w:val="0"/>
          <w:numId w:val="1"/>
        </w:numPr>
      </w:pPr>
      <w:hyperlink r:id="rId9">
        <w:r>
          <w:rPr>
            <w:rStyle w:val="Hyperlink"/>
          </w:rPr>
          <w:t>Toolstrip button reference</w:t>
        </w:r>
      </w:hyperlink>
    </w:p>
    <w:p>
      <w:pPr>
        <w:pStyle w:val="BodyText"/>
        <w:numPr>
          <w:ilvl w:val="0"/>
          <w:numId w:val="1"/>
        </w:numPr>
      </w:pPr>
      <w:hyperlink r:id="rId10">
        <w:r>
          <w:rPr>
            <w:rStyle w:val="Hyperlink"/>
          </w:rPr>
          <w:t>Handling expiries in SOAP2</w:t>
        </w:r>
      </w:hyperlink>
    </w:p>
    <w:p>
      <w:pPr>
        <w:pStyle w:val="BodyText"/>
        <w:numPr>
          <w:ilvl w:val="0"/>
          <w:numId w:val="1"/>
        </w:numPr>
      </w:pPr>
      <w:hyperlink r:id="rId3">
        <w:r>
          <w:rPr>
            <w:rStyle w:val="Hyperlink"/>
          </w:rPr>
          <w:t>YouTube tutorial playlist</w:t>
        </w:r>
      </w:hyperlink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lockQuotation">
    <w:name w:val="Block Quotation"/>
    <w:basedOn w:val="Normal"/>
    <w:qFormat/>
    <w:pPr>
      <w:spacing w:before="0" w:after="283"/>
      <w:ind w:hanging="0" w:start="567" w:end="567"/>
    </w:pPr>
    <w:rPr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oap2.pages.dev/docs/index.md.html" TargetMode="External"/><Relationship Id="rId3" Type="http://schemas.openxmlformats.org/officeDocument/2006/relationships/hyperlink" Target="https://www.youtube.com/playlist?list=PLZ-z8oRgH_vc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hyperlink" Target="https://soap2.pages.dev/docs/optionschain_overview.md.html" TargetMode="External"/><Relationship Id="rId9" Type="http://schemas.openxmlformats.org/officeDocument/2006/relationships/hyperlink" Target="https://soap2.pages.dev/docs/optionschain_toolstrip_tutorial.md.html" TargetMode="External"/><Relationship Id="rId10" Type="http://schemas.openxmlformats.org/officeDocument/2006/relationships/hyperlink" Target="https://soap2.pages.dev/docs/optionschain_expiries.md.html" TargetMode="Externa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1</Pages>
  <Words>358</Words>
  <Characters>1702</Characters>
  <CharactersWithSpaces>2049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2026-08-25T15:54:39Z</dcterms:created>
  <dc:creator/>
  <dc:description/>
  <dc:language>en-US</dc:language>
  <cp:lastModifiedBy/>
  <dcterms:modified xsi:type="dcterms:W3CDTF">2026-08-25T15:55:05Z</dcterms:modified>
  <cp:revision>1</cp:revision>
  <dc:subject/>
  <dc:title/>
</cp:coreProperties>
</file>