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</w:pPr>
      <w:r>
        <w:t>SOAP2 HSkew/VSkew — How-To Guide</w:t>
      </w:r>
    </w:p>
    <w:p>
      <w:pPr>
        <w:pStyle w:val="BodyText"/>
      </w:pPr>
      <w:r>
        <w:t>Requires: Free Trial, Premium, or WhiteLabel edition (or Developer mode) — once the Free Trial period ends, Freeware and Regular users lose access.</w:t>
      </w:r>
    </w:p>
    <w:p>
      <w:pPr>
        <w:pStyle w:val="Heading2"/>
      </w:pPr>
      <w:r>
        <w:t>What HSkew/VSkew Does</w:t>
      </w:r>
    </w:p>
    <w:p>
      <w:pPr>
        <w:pStyle w:val="BodyText"/>
      </w:pPr>
      <w:r>
        <w:t>Two OA chart tabs that show the shape of a symbol’s implied-vol smile from a different angle each: VSkew (Vertical Skew) plots IV vs. strike at a fixed expiry — the smile itself; HSkew (Horizontal Skew) plots ATM IV vs. DTE across expiries — the term structure. Both are live-drawn from your own chain, and both carry a historical overlay (1D/2D/1W Ago) so you can compare today’s shape against recent sessions, not just look at a single live snapshot.</w:t>
      </w:r>
    </w:p>
    <w:p>
      <w:pPr>
        <w:pStyle w:val="BlockQuotation"/>
      </w:pPr>
      <w:r>
        <w:t>Important: the 1W Ago overlay resolves the true historically-ATM strike/contract for that offset (not just today’s strike replayed backward), which is more correct but means it occasionally can’t find a matching quote for a far-dated expiry’s historical strike — that point is just dropped, not a crash. On VSkew specifically, the 1W Ago column’s own RR25/BF25 numbers are a known gap (the overlay line still renders fine) — its structurally larger DTE needs a wider strike search than the window sized for today’s DTE currently provides.</w:t>
      </w:r>
    </w:p>
    <w:p>
      <w:pPr>
        <w:pStyle w:val="Heading2"/>
      </w:pPr>
      <w:r>
        <w:t>When to Use It</w:t>
      </w:r>
    </w:p>
    <w:p>
      <w:pPr>
        <w:pStyle w:val="BodyText"/>
        <w:numPr>
          <w:ilvl w:val="0"/>
          <w:numId w:val="1"/>
        </w:numPr>
      </w:pPr>
      <w:r>
        <w:t>Quickly spotting which wing (calls or puts) is richer right now, and by how much, via RR25/BF25.</w:t>
      </w:r>
    </w:p>
    <w:p>
      <w:pPr>
        <w:pStyle w:val="BodyText"/>
        <w:numPr>
          <w:ilvl w:val="0"/>
          <w:numId w:val="1"/>
        </w:numPr>
      </w:pPr>
      <w:r>
        <w:t>Comparing today’s smile or term structure against 1/2 days or a week ago to see whether skew is steepening, flattening, or reshaping.</w:t>
      </w:r>
    </w:p>
    <w:p>
      <w:pPr>
        <w:pStyle w:val="BodyText"/>
        <w:numPr>
          <w:ilvl w:val="0"/>
          <w:numId w:val="1"/>
        </w:numPr>
      </w:pPr>
      <w:r>
        <w:t>Reading the term structure (HSkew) to see whether near-dated or far-dated IV is elevated — useful before picking which expiry to trade.</w:t>
      </w:r>
    </w:p>
    <w:p>
      <w:pPr>
        <w:pStyle w:val="BodyText"/>
        <w:numPr>
          <w:ilvl w:val="0"/>
          <w:numId w:val="1"/>
        </w:numPr>
      </w:pPr>
      <w:r>
        <w:t>Sanity-checking a specific quote’s IV against the shape the rest of the chain is trading at.</w:t>
      </w:r>
    </w:p>
    <w:p>
      <w:pPr>
        <w:pStyle w:val="Heading2"/>
      </w:pPr>
      <w:r>
        <w:t>Reading RR25 and BF25</w:t>
      </w:r>
    </w:p>
    <w:p>
      <w:pPr>
        <w:pStyle w:val="BodyText"/>
      </w:pPr>
      <w:r>
        <w:t>Both tabs show a small info box (Current / 1D Ago / 2D Ago / 1W Ago columns) with two standard measures of smile shape: RR25 (25-delta risk reversal) = IV of the 25-delta call minus the 25-delta put. This is the slope — negative means puts are richer (the usual equity-index pattern, downside crash protection demand), positive means calls are richer. BF25 (25-delta butterfly) ≈ average of the 25-delta call/put IV, minus ATM IV. This is the curvature — a higher value means both wings are trading rich relative to ATM (a more pronounced smile), a lower value means a flatter curve.</w:t>
      </w:r>
    </w:p>
    <w:p>
      <w:pPr>
        <w:pStyle w:val="BodyText"/>
      </w:pPr>
      <w:r>
        <w:t>Together they describe the shape around ATM: RR25 tells you which way it leans, BF25 tells you how bowed it is. On HSkew, the same idea appears as a term-slope figure instead (longest-DTE IV minus shortest-DTE IV, same Current/1D/2D/1W columns) plus an “ATM” row for the front-month IV itself.</w:t>
      </w:r>
    </w:p>
    <w:p>
      <w:pPr>
        <w:pStyle w:val="Heading2"/>
      </w:pPr>
      <w:r>
        <w:t>How It Fits Your Workflow</w:t>
      </w:r>
    </w:p>
    <w:p>
      <w:pPr>
        <w:pStyle w:val="BodyText"/>
        <w:numPr>
          <w:ilvl w:val="0"/>
          <w:numId w:val="2"/>
        </w:numPr>
      </w:pPr>
      <w:r>
        <w:t>From an open OA, click the VSkew or HSkew toolstrip button (next to Risk Graph) to switch to that tab — it draws immediately off the live chain.</w:t>
      </w:r>
    </w:p>
    <w:p>
      <w:pPr>
        <w:pStyle w:val="BodyText"/>
        <w:numPr>
          <w:ilvl w:val="0"/>
          <w:numId w:val="2"/>
        </w:numPr>
      </w:pPr>
      <w:r>
        <w:t>Check the RR25/BF25 (or term-slope) box’s Current column for today’s read, then compare against 1D/2D/1W Ago to see whether the shape has been moving in a direction that matters for your trade.</w:t>
      </w:r>
    </w:p>
    <w:p>
      <w:pPr>
        <w:pStyle w:val="BodyText"/>
        <w:numPr>
          <w:ilvl w:val="0"/>
          <w:numId w:val="2"/>
        </w:numPr>
      </w:pPr>
      <w:r>
        <w:t>On VSkew, if the delta convention you’re used to isn’t 25-delta, adjust the target delta in General Settings → Strikes &amp; Pricing (VSkewTargetDeltaPct) — the row labels update to show whatever percentage is configured.</w:t>
      </w:r>
    </w:p>
    <w:p>
      <w:pPr>
        <w:pStyle w:val="BodyText"/>
        <w:numPr>
          <w:ilvl w:val="0"/>
          <w:numId w:val="2"/>
        </w:numPr>
      </w:pPr>
      <w:r>
        <w:t>Zoom/pan the chart like any other OA chart (click-drag to pan, mouse wheel to zoom) to focus on the strikes or expiries you care about.</w:t>
      </w:r>
    </w:p>
    <w:p>
      <w:pPr>
        <w:pStyle w:val="BodyText"/>
        <w:numPr>
          <w:ilvl w:val="0"/>
          <w:numId w:val="2"/>
        </w:numPr>
      </w:pPr>
      <w:r>
        <w:t>Use the shared Save toolstrip button to export the current chart as an image if you want to keep a record of a specific day’s shape.</w:t>
      </w:r>
    </w:p>
    <w:p>
      <w:pPr>
        <w:pStyle w:val="Heading2"/>
      </w:pPr>
      <w:r>
        <w:t>Related Tools Worth Pairing With It</w:t>
      </w:r>
    </w:p>
    <w:p>
      <w:pPr>
        <w:pStyle w:val="BodyText"/>
        <w:numPr>
          <w:ilvl w:val="0"/>
          <w:numId w:val="1"/>
        </w:numPr>
      </w:pPr>
      <w:r>
        <w:t>GEX/VEX — skew tells you the shape of IV; GEX/VEX tells you dealer positioning at each strike. Useful together when choosing where to trade.</w:t>
      </w:r>
    </w:p>
    <w:p>
      <w:pPr>
        <w:pStyle w:val="BodyText"/>
        <w:numPr>
          <w:ilvl w:val="0"/>
          <w:numId w:val="1"/>
        </w:numPr>
      </w:pPr>
      <w:r>
        <w:t>Volatility Surface — VSkew/HSkew are single-expiry/single-metric slices; VolSurface is the fitted surface across every strike and expiry at once, plus the option to feed it into the Risk Graph.</w:t>
      </w:r>
    </w:p>
    <w:p>
      <w:pPr>
        <w:pStyle w:val="BodyText"/>
        <w:numPr>
          <w:ilvl w:val="0"/>
          <w:numId w:val="1"/>
        </w:numPr>
      </w:pPr>
      <w:r>
        <w:t>Sticky-Strike / Sticky-Delta Regime — HSkew/VSkew show you the shape right now; the regime tool tells you whether the whole surface has recently been behaving sticky-strike or sticky-delta, a longer-run read on the same underlying dynamics.</w:t>
      </w:r>
    </w:p>
    <w:p>
      <w:pPr>
        <w:pStyle w:val="Heading2"/>
      </w:pPr>
      <w:r>
        <w:t>Learn More</w:t>
      </w:r>
    </w:p>
    <w:p>
      <w:pPr>
        <w:pStyle w:val="BodyText"/>
        <w:numPr>
          <w:ilvl w:val="0"/>
          <w:numId w:val="1"/>
        </w:numPr>
      </w:pPr>
      <w:hyperlink r:id="rId8">
        <w:r>
          <w:rPr>
            <w:rStyle w:val="Hyperlink"/>
          </w:rPr>
          <w:t>Skew reference</w:t>
        </w:r>
      </w:hyperlink>
    </w:p>
    <w:p>
      <w:pPr>
        <w:pStyle w:val="BodyText"/>
        <w:numPr>
          <w:ilvl w:val="0"/>
          <w:numId w:val="1"/>
        </w:numPr>
      </w:pPr>
      <w:hyperlink r:id="rId9">
        <w:r>
          <w:rPr>
            <w:rStyle w:val="Hyperlink"/>
          </w:rPr>
          <w:t>OptionsChain (OA Window) Guide</w:t>
        </w:r>
      </w:hyperlink>
    </w:p>
    <w:p>
      <w:pPr>
        <w:pStyle w:val="BodyText"/>
        <w:numPr>
          <w:ilvl w:val="0"/>
          <w:numId w:val="1"/>
        </w:numPr>
      </w:pPr>
      <w:hyperlink r:id="rId10">
        <w:r>
          <w:rPr>
            <w:rStyle w:val="Hyperlink"/>
          </w:rPr>
          <w:t>Licensing &amp; Editions</w:t>
        </w:r>
      </w:hyperlink>
    </w:p>
    <w:p>
      <w:pPr>
        <w:pStyle w:val="BodyText"/>
        <w:numPr>
          <w:ilvl w:val="0"/>
          <w:numId w:val="1"/>
        </w:numPr>
      </w:pPr>
      <w:hyperlink r:id="rId3">
        <w:r>
          <w:rPr>
            <w:rStyle w:val="Hyperlink"/>
          </w:rPr>
          <w:t>YouTube tutorial playlist</w:t>
        </w:r>
      </w:hyperlink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oap2.pages.dev/docs/index.md.html" TargetMode="External"/><Relationship Id="rId3" Type="http://schemas.openxmlformats.org/officeDocument/2006/relationships/hyperlink" Target="https://www.youtube.com/playlist?list=PLZ-z8oRgH_vc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hyperlink" Target="https://soap2.pages.dev/docs/optionschain_riskreversal.md.html" TargetMode="External"/><Relationship Id="rId9" Type="http://schemas.openxmlformats.org/officeDocument/2006/relationships/hyperlink" Target="https://soap2.pages.dev/docs/optionschain_overview.md.html" TargetMode="External"/><Relationship Id="rId10" Type="http://schemas.openxmlformats.org/officeDocument/2006/relationships/hyperlink" Target="https://soap2.pages.dev/docs/licensing_user_guide.md.html" TargetMode="Externa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358</Words>
  <Characters>1702</Characters>
  <CharactersWithSpaces>2049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2026-08-25T15:54:39Z</dcterms:created>
  <dc:creator/>
  <dc:description/>
  <dc:language>en-US</dc:language>
  <cp:lastModifiedBy/>
  <dcterms:modified xsi:type="dcterms:W3CDTF">2026-08-25T15:55:05Z</dcterms:modified>
  <cp:revision>1</cp:revision>
  <dc:subject/>
  <dc:title/>
</cp:coreProperties>
</file>