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GEX/VEX — How-To Guide</w:t>
      </w:r>
    </w:p>
    <w:p>
      <w:pPr>
        <w:pStyle w:val="BodyText"/>
      </w:pPr>
      <w:r>
        <w:t>Requires: Free Trial, Premium, or WhiteLabel edition (or Developer mode) — once the Free Trial period ends, Freeware and Regular users lose access.</w:t>
      </w:r>
    </w:p>
    <w:p>
      <w:pPr>
        <w:pStyle w:val="Heading2"/>
      </w:pPr>
      <w:r>
        <w:t>What GEX/VEX Does</w:t>
      </w:r>
    </w:p>
    <w:p>
      <w:pPr>
        <w:pStyle w:val="BodyText"/>
      </w:pPr>
      <w:r>
        <w:t>GEX (Gamma Exposure) and VEX (Vanna Exposure) are two extra OA tabs, SPX/RUT only, that show — per strike — how much dealer Gamma or Vanna is sitting in the option chain: a read on where the market might accelerate or dampen price moves, computed live from your own IB feed (any expiry, live or delayed data), not a downloaded snapshot.</w:t>
      </w:r>
    </w:p>
    <w:p>
      <w:pPr>
        <w:pStyle w:val="BlockQuotation"/>
      </w:pPr>
      <w:r>
        <w:t>Important: this is a new, evolving feature — treat Flip/Min/Max as directional guidance, not a precise prediction. The numbers are model estimates built on assumptions about which side of a trade dealers are actually on; large positioning changes, new large trades, or thin open interest can break the pattern.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Spotting where dealer gamma is likely to dampen price moves (a “wall”) vs. where it might accelerate them, around today’s strikes.</w:t>
      </w:r>
    </w:p>
    <w:p>
      <w:pPr>
        <w:pStyle w:val="BodyText"/>
        <w:numPr>
          <w:ilvl w:val="0"/>
          <w:numId w:val="1"/>
        </w:numPr>
      </w:pPr>
      <w:r>
        <w:t>Reading the Flip level — the underlying price where aggregate dealer gamma is expected to cross from negative to positive — as a rough regime marker for the session.</w:t>
      </w:r>
    </w:p>
    <w:p>
      <w:pPr>
        <w:pStyle w:val="BodyText"/>
        <w:numPr>
          <w:ilvl w:val="0"/>
          <w:numId w:val="1"/>
        </w:numPr>
      </w:pPr>
      <w:r>
        <w:t>Checking whether a vol event (CPI, FOMC, OPEX) is likely to trigger vanna-driven hedging flows that reinforce or offset the gamma picture at the same strikes.</w:t>
      </w:r>
    </w:p>
    <w:p>
      <w:pPr>
        <w:pStyle w:val="BodyText"/>
        <w:numPr>
          <w:ilvl w:val="0"/>
          <w:numId w:val="1"/>
        </w:numPr>
      </w:pPr>
      <w:r>
        <w:t>Tracking how Gamma/Vanna exposure is shifting strike-by-strike as the session progresses, via the change subchart.</w:t>
      </w:r>
    </w:p>
    <w:p>
      <w:pPr>
        <w:pStyle w:val="Heading2"/>
      </w:pPr>
      <w:r>
        <w:t>Reading the Chart</w:t>
      </w:r>
    </w:p>
    <w:p>
      <w:pPr>
        <w:pStyle w:val="BodyText"/>
      </w:pPr>
      <w:r>
        <w:t>A bar chart, one pair of bars per strike (Call GEX/VEX green, Put GEX/VEX red), scaled in $ billions (GEX) or $ millions (VEX). GEX only adds three reference lines: Flip (black, the price level where aggregate dealer gamma is expected to flip sign, from a full price sweep — not just the visible bars), Min/Max (blue/purple, the trough/peak of that swept curve — the “gamma walls”), and an orange GEX curve on the secondary axis so you can sanity-check where Flip/Min/Max were actually read from. Zoom/pan works the same as the Risk Graph.</w:t>
      </w:r>
    </w:p>
    <w:p>
      <w:pPr>
        <w:pStyle w:val="BodyText"/>
      </w:pPr>
      <w:r>
        <w:t>Attractor vs. repellor, the short version: above the Flip level, dealers are typically net long gamma, so their hedging is mean-reverting — selling into strength, buying into weakness — which pins price near large open-interest strikes (a “wall” or “magnet”). Below Flip, dealers are typically net short gamma, so hedging reverses direction and becomes pro-cyclical — accelerating moves rather than damping them, which is part of why negative-gamma regimes see sharper, faster selloffs. Vanna adds a second lens on top: a vol collapse (e.g. after CPI) can force dealers who are net positive vanna to buy stock and pull price toward a large call-OI strike even without spot moving first, while a vol spike can push price away from a level. The strongest wall effects cluster near large open-interest concentrations and intensify approaching expiration.</w:t>
      </w:r>
    </w:p>
    <w:p>
      <w:pPr>
        <w:pStyle w:val="BodyText"/>
      </w:pPr>
      <w:r>
        <w:t>A smaller change subchart below the main chart shows per-strike Gamma/Vanna change as a delta rather than an absolute exposure, sharing the same strike axis/zoom as the main chart. By default it’s continuous (change since the previous ~5s recompute); the Δ Since Last Save toggle switches it to change-since-last-saved-snapshot instead, frozen between saves.</w:t>
      </w:r>
    </w:p>
    <w:p>
      <w:pPr>
        <w:pStyle w:val="Heading2"/>
      </w:pPr>
      <w:r>
        <w:t>The GEX/VEX Filters Dropdown</w:t>
      </w:r>
    </w:p>
    <w:p>
      <w:pPr>
        <w:pStyle w:val="BodyText"/>
        <w:numPr>
          <w:ilvl w:val="0"/>
          <w:numId w:val="1"/>
        </w:numPr>
      </w:pPr>
      <w:r>
        <w:t>Strike range (±%) / Strike interval — how wide a window to compute and the spacing within it; separate defaults for 0DTE vs. every other expiry.</w:t>
      </w:r>
    </w:p>
    <w:p>
      <w:pPr>
        <w:pStyle w:val="BodyText"/>
        <w:numPr>
          <w:ilvl w:val="0"/>
          <w:numId w:val="1"/>
        </w:numPr>
      </w:pPr>
      <w:r>
        <w:t>Min Strike / Max Strike — an explicit override replacing the percentage range, disabled for expiries 0–7 days out (the percentage range is used there instead, since a fixed window goes stale fast near-term). Click Use Range % to clear a saved override.</w:t>
      </w:r>
    </w:p>
    <w:p>
      <w:pPr>
        <w:pStyle w:val="BodyText"/>
        <w:numPr>
          <w:ilvl w:val="0"/>
          <w:numId w:val="1"/>
        </w:numPr>
      </w:pPr>
      <w:r>
        <w:t>Recompute — manually recompute now and record a snapshot to this symbol’s history file.</w:t>
      </w:r>
    </w:p>
    <w:p>
      <w:pPr>
        <w:pStyle w:val="BodyText"/>
        <w:numPr>
          <w:ilvl w:val="0"/>
          <w:numId w:val="1"/>
        </w:numPr>
      </w:pPr>
      <w:r>
        <w:t>Auto-Recompute (History) + Interval (min) — a separate, slower recorded cadence from the always-on ~5s chart refresh: when on, GEX/VEX saves a snapshot to SOAP_Data\GexVex\{Symbol}_History.json every interval, building a running record of Net GEX/VEX, Flip, and Min/Max over time.</w:t>
      </w:r>
    </w:p>
    <w:p>
      <w:pPr>
        <w:pStyle w:val="BodyText"/>
        <w:numPr>
          <w:ilvl w:val="0"/>
          <w:numId w:val="1"/>
        </w:numPr>
      </w:pPr>
      <w:r>
        <w:t>Flip GEX Sign / Flip VEX Sign — there’s no universally-agreed sign convention for Gamma/Vanna exposure across data sources; toggle if your numbers look inverted compared to what you’re used to. Display-only, doesn’t change the underlying calculation.</w:t>
      </w:r>
    </w:p>
    <w:p>
      <w:pPr>
        <w:pStyle w:val="BodyText"/>
      </w:pPr>
      <w:r>
        <w:t>All Filters settings are saved per symbol and restored the next time you open that symbol’s tab.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Open an OA on SPX or RUT with an expiry selected — the GEX and VEX buttons appear next to Risk Graph/HSkew/VSkew automatically. Click either; it recomputes immediately.</w:t>
      </w:r>
    </w:p>
    <w:p>
      <w:pPr>
        <w:pStyle w:val="BodyText"/>
        <w:numPr>
          <w:ilvl w:val="0"/>
          <w:numId w:val="2"/>
        </w:numPr>
      </w:pPr>
      <w:r>
        <w:t>Check the quick-info status line under the toolstrip for “OI complete (all strikes)” before trusting the numbers — “OI still arriving” is normal right after opening or widening the range, and resolves within a few passes.</w:t>
      </w:r>
    </w:p>
    <w:p>
      <w:pPr>
        <w:pStyle w:val="BodyText"/>
        <w:numPr>
          <w:ilvl w:val="0"/>
          <w:numId w:val="2"/>
        </w:numPr>
      </w:pPr>
      <w:r>
        <w:t>Read Flip/Min/Max against the strikes you’re actually trading, keeping the attractor/repellor framing above in mind — and watch for a vanna picture (VEX tab) that reinforces or fights the gamma picture at the same level, especially around a scheduled vol event.</w:t>
      </w:r>
    </w:p>
    <w:p>
      <w:pPr>
        <w:pStyle w:val="BodyText"/>
        <w:numPr>
          <w:ilvl w:val="0"/>
          <w:numId w:val="2"/>
        </w:numPr>
      </w:pPr>
      <w:r>
        <w:t>Open Filters to narrow the strike range/interval to what matters for your trade, or turn on Auto-Recompute if you want a saved history to look back on later.</w:t>
      </w:r>
    </w:p>
    <w:p>
      <w:pPr>
        <w:pStyle w:val="BodyText"/>
        <w:numPr>
          <w:ilvl w:val="0"/>
          <w:numId w:val="2"/>
        </w:numPr>
      </w:pPr>
      <w:r>
        <w:t>Use the Save toolstrip button (shared with Risk Graph/HSkew/VSkew/VolSurface) to export the current chart as an image if you want to keep a record of a specific pass.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HSkew/VSkew — GEX/VEX tells you dealer positioning by strike; skew tells you the shape of IV. Useful together when choosing where to trade.</w:t>
      </w:r>
    </w:p>
    <w:p>
      <w:pPr>
        <w:pStyle w:val="BodyText"/>
        <w:numPr>
          <w:ilvl w:val="0"/>
          <w:numId w:val="1"/>
        </w:numPr>
      </w:pPr>
      <w:r>
        <w:t>Volatility Surface — the fitted IV surface behind the whole chain, complementary to GEX/VEX’s strike-by-strike exposure read.</w:t>
      </w:r>
    </w:p>
    <w:p>
      <w:pPr>
        <w:pStyle w:val="BodyText"/>
        <w:numPr>
          <w:ilvl w:val="0"/>
          <w:numId w:val="1"/>
        </w:numPr>
      </w:pPr>
      <w:r>
        <w:t>General Settings → GEX/VEX tab — the master enable switch and first-time defaults (strike range/interval for 0DTE vs. monthly, Auto-Recompute) for a symbol’s first-ever pass; once a symbol has its own saved settings, its own Filters dropdown takes over.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8">
        <w:r>
          <w:rPr>
            <w:rStyle w:val="Hyperlink"/>
          </w:rPr>
          <w:t>Full documentation site</w:t>
        </w:r>
      </w:hyperlink>
    </w:p>
    <w:p>
      <w:pPr>
        <w:pStyle w:val="BodyText"/>
        <w:numPr>
          <w:ilvl w:val="0"/>
          <w:numId w:val="1"/>
        </w:numPr>
      </w:pPr>
      <w:hyperlink r:id="rId9">
        <w:r>
          <w:rPr>
            <w:rStyle w:val="Hyperlink"/>
          </w:rPr>
          <w:t>Licensing &amp; Editions</w:t>
        </w:r>
      </w:hyperlink>
    </w:p>
    <w:p>
      <w:pPr>
        <w:pStyle w:val="BodyText"/>
        <w:numPr>
          <w:ilvl w:val="0"/>
          <w:numId w:val="1"/>
        </w:numPr>
      </w:pPr>
      <w:hyperlink r:id="rId10">
        <w:r>
          <w:rPr>
            <w:rStyle w:val="Hyperlink"/>
          </w:rPr>
          <w:t>Skew (HSkew/VSkew)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https://soap2.pages.dev/docs/gexvex_user_guide.md.html" TargetMode="External"/><Relationship Id="rId9" Type="http://schemas.openxmlformats.org/officeDocument/2006/relationships/hyperlink" Target="https://soap2.pages.dev/docs/licensing_user_guide.md.html" TargetMode="External"/><Relationship Id="rId10" Type="http://schemas.openxmlformats.org/officeDocument/2006/relationships/hyperlink" Target="https://soap2.pages.dev/docs/optionschain_riskreversal.md.html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