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pPr>
      <w:r>
        <w:t>SOAP2 Data Chart Indicators — How-To Guide</w:t>
      </w:r>
    </w:p>
    <w:p>
      <w:pPr>
        <w:pStyle w:val="Heading2"/>
      </w:pPr>
      <w:r>
        <w:t>What Data Chart Indicators Does</w:t>
      </w:r>
    </w:p>
    <w:p>
      <w:pPr>
        <w:pStyle w:val="BodyText"/>
      </w:pPr>
      <w:r>
        <w:t>The Data Chart is SOAP2’s historical OHLC/candlestick chart for a symbol (Alt+D from the main window or from an open OA). On top of the base bars/volume/RSI chart, its settings panel adds Heikin-Ashi candles, manual Y-axis control, and a set of four indicator tabs — ALMA, JMA, Cycle, Pivots — that build on each other toward one goal: reading the market’s current rhythm well enough to anticipate a turn instead of only reacting to it after the fact.</w:t>
      </w:r>
    </w:p>
    <w:p>
      <w:pPr>
        <w:pStyle w:val="BlockQuotation"/>
      </w:pPr>
      <w:r>
        <w:t>Important: Cycle, Adaptive Length, and Pivots all need real warm-up — they start drawing early, but don’t trust their readings for real decisions until the chart has several hundred bars loaded. The default 8-48 bar cycle range is tuned for daily-ish equity swing cycles and hasn’t been validated at options-relevant timeframes (1-min/5-min bars, IV/vega series). Pivot markers and Adaptive Length are validated on synthetic data only so far — treat all four as a visual aid, not a signal to act on directly.</w:t>
      </w:r>
    </w:p>
    <w:p>
      <w:pPr>
        <w:pStyle w:val="Heading2"/>
      </w:pPr>
      <w:r>
        <w:t>When to Use It</w:t>
      </w:r>
    </w:p>
    <w:p>
      <w:pPr>
        <w:pStyle w:val="BodyText"/>
        <w:numPr>
          <w:ilvl w:val="0"/>
          <w:numId w:val="1"/>
        </w:numPr>
      </w:pPr>
      <w:r>
        <w:t>Getting a cleaner read on trend direction than a plain moving average, with far less lag (ALMA/JMA).</w:t>
      </w:r>
    </w:p>
    <w:p>
      <w:pPr>
        <w:pStyle w:val="BodyText"/>
        <w:numPr>
          <w:ilvl w:val="0"/>
          <w:numId w:val="1"/>
        </w:numPr>
      </w:pPr>
      <w:r>
        <w:t>Checking whether a symbol is currently showing a clean, repeating swing at all — and if so, roughly how long it is and where price sits within it (Cycle).</w:t>
      </w:r>
    </w:p>
    <w:p>
      <w:pPr>
        <w:pStyle w:val="BodyText"/>
        <w:numPr>
          <w:ilvl w:val="0"/>
          <w:numId w:val="1"/>
        </w:numPr>
      </w:pPr>
      <w:r>
        <w:t>Getting a concrete “this bar was a high/low” call instead of eyeballing a crossover yourself (Pivots).</w:t>
      </w:r>
    </w:p>
    <w:p>
      <w:pPr>
        <w:pStyle w:val="BodyText"/>
        <w:numPr>
          <w:ilvl w:val="0"/>
          <w:numId w:val="1"/>
        </w:numPr>
      </w:pPr>
      <w:r>
        <w:t>Comparing real prices against smoothed Heikin-Ashi candles to read through noisy price action.</w:t>
      </w:r>
    </w:p>
    <w:p>
      <w:pPr>
        <w:pStyle w:val="BodyText"/>
        <w:numPr>
          <w:ilvl w:val="0"/>
          <w:numId w:val="1"/>
        </w:numPr>
      </w:pPr>
      <w:r>
        <w:t>Digging into the raw periodogram behind a Cycle reading, when the on-chart line alone isn’t enough (the Spectrum popup).</w:t>
      </w:r>
    </w:p>
    <w:p>
      <w:pPr>
        <w:pStyle w:val="Heading2"/>
      </w:pPr>
      <w:r>
        <w:t>The Indicator Tabs, Building on Each Other</w:t>
      </w:r>
    </w:p>
    <w:p>
      <w:pPr>
        <w:pStyle w:val="BodyText"/>
        <w:numPr>
          <w:ilvl w:val="0"/>
          <w:numId w:val="1"/>
        </w:numPr>
      </w:pPr>
      <w:r>
        <w:t>ALMA — Show ALMA toggles the Arnaud Legoux Moving Average overlay (window=9, offset=0.85, sigma=6, the standard defaults). Checked by default.</w:t>
      </w:r>
    </w:p>
    <w:p>
      <w:pPr>
        <w:pStyle w:val="BodyText"/>
        <w:numPr>
          <w:ilvl w:val="0"/>
          <w:numId w:val="1"/>
        </w:numPr>
      </w:pPr>
      <w:r>
        <w:t>JMA — a second, independently-toggleable overlay: a reverse-engineered approximation of the Jurik Moving Average (the real formula was never published). Unchecked by default so it doesn’t suddenly appear over ALMA on existing charts. Length (default 7, lower = faster/noisier) and Phase (-100 to 100, default 0 — negative trades responsiveness for smoothness, positive reduces lag at the cost of overshoot).</w:t>
      </w:r>
    </w:p>
    <w:p>
      <w:pPr>
        <w:pStyle w:val="BodyText"/>
        <w:numPr>
          <w:ilvl w:val="0"/>
          <w:numId w:val="1"/>
        </w:numPr>
      </w:pPr>
      <w:r>
        <w:t>Cycle — replaces the Momentum sub-panel with a dominant-cycle oscillator: Sine/LeadSine (bounded -1 to 1) plus a Dominant Cycle (bars) line. Min/Max (default 8-48 bars) sets the candidate cycle-period search range — also shared by Pivots. A LeadSine/Sine crossover anticipates a turn roughly 1/8 to 1/4 of the current cycle length in advance; gaps in the Dominant Cycle line mean no clean cycle is currently detected (often a strong trend), not missing data. Show Adaptive Length adds a steadier companion line that only shifts once a genuinely different cycle length has held for a few bars, useful when the raw line looks twitchy.</w:t>
      </w:r>
    </w:p>
    <w:p>
      <w:pPr>
        <w:pStyle w:val="BodyText"/>
        <w:numPr>
          <w:ilvl w:val="0"/>
          <w:numId w:val="1"/>
        </w:numPr>
      </w:pPr>
      <w:r>
        <w:t>Pivots — marks bars the cycle detector identifies as a turning point (red down-triangle for a high, green up-triangle for a low), reusing Cycle’s own Min/Max range but working independently of whether the Cycle sub-panel is shown. Each marker sits at the bar’s real high/low, even with Heikin-Ashi on.</w:t>
      </w:r>
    </w:p>
    <w:p>
      <w:pPr>
        <w:pStyle w:val="Heading2"/>
      </w:pPr>
      <w:r>
        <w:t>Other Chart Controls Worth Knowing</w:t>
      </w:r>
    </w:p>
    <w:p>
      <w:pPr>
        <w:pStyle w:val="BodyText"/>
        <w:numPr>
          <w:ilvl w:val="0"/>
          <w:numId w:val="1"/>
        </w:numPr>
      </w:pPr>
      <w:r>
        <w:t>Heikin-Ashi — replaces candles/bars with the smoothed HA transform for reading trend through noise. Only the candles themselves change — ALMA, JMA, Murrey Math, and the projection cone all keep using real prices, so remember that when comparing an overlay against the candles.</w:t>
      </w:r>
    </w:p>
    <w:p>
      <w:pPr>
        <w:pStyle w:val="BodyText"/>
        <w:numPr>
          <w:ilvl w:val="0"/>
          <w:numId w:val="1"/>
        </w:numPr>
      </w:pPr>
      <w:r>
        <w:t>Y-axis zoom/pan — the left-edge price labels are an interactive control surface separate from the usual bar-count zoom: mouse wheel zooms the Y range, click-drag pans it, double-click resets to automatic. A manual range survives horizontal zoom/pan but resets when you load a different symbol/dataset.</w:t>
      </w:r>
    </w:p>
    <w:p>
      <w:pPr>
        <w:pStyle w:val="BodyText"/>
        <w:numPr>
          <w:ilvl w:val="0"/>
          <w:numId w:val="1"/>
        </w:numPr>
      </w:pPr>
      <w:r>
        <w:t>MM in Y-Rng — uncheck to stop Murrey Math S/R levels (computed from a long trailing lookback) from widening the Y-axis to fit them, which can otherwise squash the candles into a small band. Checked by default.</w:t>
      </w:r>
    </w:p>
    <w:p>
      <w:pPr>
        <w:pStyle w:val="BodyText"/>
        <w:numPr>
          <w:ilvl w:val="0"/>
          <w:numId w:val="1"/>
        </w:numPr>
      </w:pPr>
      <w:r>
        <w:t>Symbol switcher — the toolstrip’s symbol box is a dropdown mirroring your Watchlist; picking a symbol jumps to that symbol’s own chart window (opening one if needed) rather than repurposing the current one.</w:t>
      </w:r>
    </w:p>
    <w:p>
      <w:pPr>
        <w:pStyle w:val="BodyText"/>
        <w:numPr>
          <w:ilvl w:val="0"/>
          <w:numId w:val="1"/>
        </w:numPr>
      </w:pPr>
      <w:r>
        <w:t>Spectrum popup (Cycle tab’s “Spectrum...” button) — a separate window showing the raw periodogram behind the Cycle reading for the currently tracked bar (hover or click a bar to move it), not just the single on-chart Dominant Cycle line.</w:t>
      </w:r>
    </w:p>
    <w:p>
      <w:pPr>
        <w:pStyle w:val="Heading2"/>
      </w:pPr>
      <w:r>
        <w:t>How It Fits Your Workflow</w:t>
      </w:r>
    </w:p>
    <w:p>
      <w:pPr>
        <w:pStyle w:val="BodyText"/>
        <w:numPr>
          <w:ilvl w:val="0"/>
          <w:numId w:val="2"/>
        </w:numPr>
      </w:pPr>
      <w:r>
        <w:t>Open the Data Chart for a symbol (Alt+D), then click Show/Hide Settings to reveal the panel with bar size, history size, RTH/OHLC/Heikin-Ashi, MM in Y-Rng, and the four indicator tabs.</w:t>
      </w:r>
    </w:p>
    <w:p>
      <w:pPr>
        <w:pStyle w:val="BodyText"/>
        <w:numPr>
          <w:ilvl w:val="0"/>
          <w:numId w:val="2"/>
        </w:numPr>
      </w:pPr>
      <w:r>
        <w:t>Turn on ALMA and/or JMA first to get a smoothed read on direction with minimal lag.</w:t>
      </w:r>
    </w:p>
    <w:p>
      <w:pPr>
        <w:pStyle w:val="BodyText"/>
        <w:numPr>
          <w:ilvl w:val="0"/>
          <w:numId w:val="2"/>
        </w:numPr>
      </w:pPr>
      <w:r>
        <w:t>Turn on Cycle once you have enough bars loaded, and check whether the Dominant Cycle line is actually drawing (a stable, tradeable cycle) or gapped (no clean cycle right now, often a strong trend). Turn on Show Adaptive Length if the raw line looks too twitchy to read.</w:t>
      </w:r>
    </w:p>
    <w:p>
      <w:pPr>
        <w:pStyle w:val="BodyText"/>
        <w:numPr>
          <w:ilvl w:val="0"/>
          <w:numId w:val="2"/>
        </w:numPr>
      </w:pPr>
      <w:r>
        <w:t>Turn on Pivots to get discrete high/low calls instead of eyeballing the Sine/LeadSine crossover yourself — but wait for several hundred bars before trusting a marker.</w:t>
      </w:r>
    </w:p>
    <w:p>
      <w:pPr>
        <w:pStyle w:val="BodyText"/>
        <w:numPr>
          <w:ilvl w:val="0"/>
          <w:numId w:val="2"/>
        </w:numPr>
      </w:pPr>
      <w:r>
        <w:t>Open the Spectrum popup from the Cycle tab if you want to see the full periodogram behind a specific bar’s cycle reading, not just the summary line.</w:t>
      </w:r>
    </w:p>
    <w:p>
      <w:pPr>
        <w:pStyle w:val="BodyText"/>
        <w:numPr>
          <w:ilvl w:val="0"/>
          <w:numId w:val="2"/>
        </w:numPr>
      </w:pPr>
      <w:r>
        <w:t>Set your preferred starting bar size, history window, and which overlays default on in General Settings → Data Chart, so you’re not reconfiguring every new symbol’s chart from scratch.</w:t>
      </w:r>
    </w:p>
    <w:p>
      <w:pPr>
        <w:pStyle w:val="Heading2"/>
      </w:pPr>
      <w:r>
        <w:t>Related Tools Worth Pairing With It</w:t>
      </w:r>
    </w:p>
    <w:p>
      <w:pPr>
        <w:pStyle w:val="BodyText"/>
        <w:numPr>
          <w:ilvl w:val="0"/>
          <w:numId w:val="1"/>
        </w:numPr>
      </w:pPr>
      <w:r>
        <w:t>HSkew/VSkew and GEX/VEX — Data Chart’s indicators read price-series rhythm; these read the options side (IV shape, dealer exposure) for the same underlying.</w:t>
      </w:r>
    </w:p>
    <w:p>
      <w:pPr>
        <w:pStyle w:val="BodyText"/>
        <w:numPr>
          <w:ilvl w:val="0"/>
          <w:numId w:val="1"/>
        </w:numPr>
      </w:pPr>
      <w:r>
        <w:t>Sticky-Strike / Sticky-Delta Regime — also reachable from the Data Chart toolbar dropdown, a longer-run structural read that pairs naturally with a trend/cycle read on the same chart.</w:t>
      </w:r>
    </w:p>
    <w:p>
      <w:pPr>
        <w:pStyle w:val="BodyText"/>
        <w:numPr>
          <w:ilvl w:val="0"/>
          <w:numId w:val="1"/>
        </w:numPr>
      </w:pPr>
      <w:r>
        <w:t>General Settings → Data Chart tab — starting bar size, history window, and which overlays are on by default for a freshly opened chart; already-open charts keep whatever they currently have.</w:t>
      </w:r>
    </w:p>
    <w:p>
      <w:pPr>
        <w:pStyle w:val="Heading2"/>
      </w:pPr>
      <w:r>
        <w:t>Learn More</w:t>
      </w:r>
    </w:p>
    <w:p>
      <w:pPr>
        <w:pStyle w:val="BodyText"/>
        <w:numPr>
          <w:ilvl w:val="0"/>
          <w:numId w:val="1"/>
        </w:numPr>
      </w:pPr>
      <w:hyperlink r:id="rId8">
        <w:r>
          <w:rPr>
            <w:rStyle w:val="Hyperlink"/>
          </w:rPr>
          <w:t>Full documentation site</w:t>
        </w:r>
      </w:hyperlink>
    </w:p>
    <w:p>
      <w:pPr>
        <w:pStyle w:val="BodyText"/>
        <w:numPr>
          <w:ilvl w:val="0"/>
          <w:numId w:val="1"/>
        </w:numPr>
      </w:pPr>
      <w:hyperlink r:id="rId9">
        <w:r>
          <w:rPr>
            <w:rStyle w:val="Hyperlink"/>
          </w:rPr>
          <w:t>Keyboard shortcuts</w:t>
        </w:r>
      </w:hyperlink>
    </w:p>
    <w:p>
      <w:pPr>
        <w:pStyle w:val="BodyText"/>
        <w:numPr>
          <w:ilvl w:val="0"/>
          <w:numId w:val="1"/>
        </w:numPr>
      </w:pPr>
      <w:hyperlink r:id="rId3">
        <w:r>
          <w:rPr>
            <w:rStyle w:val="Hyperlink"/>
          </w:rPr>
          <w:t>YouTube tutorial playlist</w:t>
        </w:r>
      </w:hyperlink>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paragraph" w:styleId="Heading1">
    <w:name w:val="heading 1"/>
    <w:basedOn w:val="Heading"/>
    <w:next w:val="BodyText"/>
    <w:qFormat/>
    <w:pPr>
      <w:spacing w:before="240" w:after="120"/>
      <w:outlineLvl w:val="0"/>
    </w:pPr>
    <w:rPr>
      <w:rFonts w:ascii="Liberation Serif" w:hAnsi="Liberation Serif" w:eastAsia="NSimSun" w:cs="Arial"/>
      <w:b/>
      <w:bCs/>
      <w:sz w:val="48"/>
      <w:szCs w:val="48"/>
    </w:rPr>
  </w:style>
  <w:style w:type="paragraph" w:styleId="Heading2">
    <w:name w:val="heading 2"/>
    <w:basedOn w:val="Heading"/>
    <w:next w:val="BodyText"/>
    <w:qFormat/>
    <w:pPr>
      <w:spacing w:before="200" w:after="120"/>
      <w:outlineLvl w:val="1"/>
    </w:pPr>
    <w:rPr>
      <w:rFonts w:ascii="Liberation Serif" w:hAnsi="Liberation Serif" w:eastAsia="NSimSun" w:cs="Arial"/>
      <w:b/>
      <w:bCs/>
      <w:sz w:val="36"/>
      <w:szCs w:val="36"/>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BlockQuotation">
    <w:name w:val="Block Quotation"/>
    <w:basedOn w:val="Normal"/>
    <w:qFormat/>
    <w:pPr>
      <w:spacing w:before="0" w:after="283"/>
      <w:ind w:hanging="0" w:start="567" w:end="567"/>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oap2.pages.dev/docs/index.md.html" TargetMode="External"/><Relationship Id="rId3" Type="http://schemas.openxmlformats.org/officeDocument/2006/relationships/hyperlink" Target="https://www.youtube.com/playlist?list=PLZ-z8oRgH_vc"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hyperlink" Target="https://soap2.pages.dev/docs/datachart_indicators_user_guide.md.html" TargetMode="External"/><Relationship Id="rId9" Type="http://schemas.openxmlformats.org/officeDocument/2006/relationships/hyperlink" Target="https://soap2.pages.dev/docs/keyboard_shortcuts.md.html" TargetMode="Externa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1</Pages>
  <Words>358</Words>
  <Characters>1702</Characters>
  <CharactersWithSpaces>2049</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2026-08-25T15:54:39Z</dcterms:created>
  <dc:creator/>
  <dc:description/>
  <dc:language>en-US</dc:language>
  <cp:lastModifiedBy/>
  <dcterms:modified xsi:type="dcterms:W3CDTF">2026-08-25T15:55:05Z</dcterms:modified>
  <cp:revision>1</cp:revision>
  <dc:subject/>
  <dc:title/>
</cp:coreProperties>
</file>