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Commit — How-To Guide</w:t>
      </w:r>
    </w:p>
    <w:p>
      <w:pPr>
        <w:pStyle w:val="Heading2"/>
      </w:pPr>
      <w:r>
        <w:t>Two Ways Out of Commit</w:t>
      </w:r>
    </w:p>
    <w:p>
      <w:pPr>
        <w:pStyle w:val="BodyText"/>
      </w:pPr>
      <w:r>
        <w:t>Every model trade you build in an OA ends up leaving Commit one of two ways: Convert, which records the legs straight into your Trade Log without ever touching TWS, or Send Order, which routes a real order through your IB connection to TWS itself — where it appears on the API tab of the Classic TWS window, the same place any other API-submitted order shows up. Which one you want depends on whether you're just recording a position you already have (or are paper-tracking) versus actually trying to get filled in the market.</w:t>
      </w:r>
    </w:p>
    <w:p>
      <w:pPr>
        <w:pStyle w:val="Heading2"/>
      </w:pPr>
      <w:r>
        <w:t>What Commit Does</w:t>
      </w:r>
    </w:p>
    <w:p>
      <w:pPr>
        <w:pStyle w:val="BodyText"/>
      </w:pPr>
      <w:r>
        <w:t>Commit is where a model trade built in an OA window stops being a simulation and becomes a real order: it turns the legs you've built into a single combo (or single-leg) order, lets you review and adjust the working price against live quotes, and sends it to TWS for execution. It's a deliberately review-first window — nothing reaches TWS until you tell it to.</w:t>
      </w:r>
    </w:p>
    <w:p>
      <w:pPr>
        <w:pStyle w:val="BlockQuotation"/>
      </w:pPr>
      <w:r>
        <w:t>Important: the toolbar has a “Direct Transmit” checkbox that would skip TWS's own manual review step and transmit at the working price immediately — it's currently disabled in the UI, so every order sent from Commit still lands in TWS for you to review and transmit yourself. Don't assume that behavior has changed without checking; always confirm what actually lands in TWS regardless.</w:t>
      </w:r>
    </w:p>
    <w:p>
      <w:pPr>
        <w:pStyle w:val="Heading2"/>
      </w:pPr>
      <w:r>
        <w:t>When to Use It</w:t>
      </w:r>
    </w:p>
    <w:p>
      <w:pPr>
        <w:pStyle w:val="BodyText"/>
        <w:numPr>
          <w:ilvl w:val="0"/>
          <w:numId w:val="1"/>
        </w:numPr>
      </w:pPr>
      <w:r>
        <w:t>Turning a model you've built in the OA into a real combo order, single-leg order, or underlying-only order.</w:t>
      </w:r>
    </w:p>
    <w:p>
      <w:pPr>
        <w:pStyle w:val="BodyText"/>
        <w:numPr>
          <w:ilvl w:val="0"/>
          <w:numId w:val="1"/>
        </w:numPr>
      </w:pPr>
      <w:r>
        <w:t>Working a limit price against the live aggregate mid before committing to it, instead of sending at whatever the mid happens to be right now.</w:t>
      </w:r>
    </w:p>
    <w:p>
      <w:pPr>
        <w:pStyle w:val="BodyText"/>
        <w:numPr>
          <w:ilvl w:val="0"/>
          <w:numId w:val="1"/>
        </w:numPr>
      </w:pPr>
      <w:r>
        <w:t>Checking margin impact (What-If) before placing an order, so you know the buying-power hit in advance.</w:t>
      </w:r>
    </w:p>
    <w:p>
      <w:pPr>
        <w:pStyle w:val="BodyText"/>
        <w:numPr>
          <w:ilvl w:val="0"/>
          <w:numId w:val="1"/>
        </w:numPr>
      </w:pPr>
      <w:r>
        <w:t>Editing an order you already sent — reload it into Commit, adjust, and re-submit.</w:t>
      </w:r>
    </w:p>
    <w:p>
      <w:pPr>
        <w:pStyle w:val="BodyText"/>
        <w:numPr>
          <w:ilvl w:val="0"/>
          <w:numId w:val="1"/>
        </w:numPr>
      </w:pPr>
      <w:r>
        <w:t>Recording model legs as an actual position (Convert) once you're ready to treat the idea as a live trade, without necessarily sending an order for it.</w:t>
      </w:r>
    </w:p>
    <w:p>
      <w:pPr>
        <w:pStyle w:val="Heading2"/>
      </w:pPr>
      <w:r>
        <w:t>Price Controls and the Sensitivity Tool</w:t>
      </w:r>
    </w:p>
    <w:p>
      <w:pPr>
        <w:pStyle w:val="BodyText"/>
      </w:pPr>
      <w:r>
        <w:t>Commit opens in its default state — unlocked, tracking Mid Price, order type LMT (Limit). In this mode the working price isn't something you set: it's the live aggregate mid of the combo's legs, recalculated continuously as quotes move, and the price field just displays it (green background, green Lock button — nothing to click yet). This is the right mode while you're still deciding on a price and just want to watch where the market actually is.</w:t>
      </w:r>
    </w:p>
    <w:p>
      <w:pPr>
        <w:pStyle w:val="BodyText"/>
      </w:pPr>
      <w:r>
        <w:t>When you're ready to work an actual limit, click Lock Price (the green button next to the price field). Locking snapshots the current mid as your baseline, turns the button/price field red, and enables the tick slider (trackbar) so you can dial the limit a set number of minimum ticks above or below that baseline — or type a price directly, which always rounds to the instrument's minimum tick. If you type a locked price that falls outside the slider's current window, the slider recenters around it automatically. Click Lock again to unlock and go back to tracking Mid Price.</w:t>
      </w:r>
    </w:p>
    <w:p>
      <w:pPr>
        <w:pStyle w:val="BodyText"/>
      </w:pPr>
      <w:r>
        <w:t>Because the order type defaults to LMT, whatever price is showing — the live mid if unlocked, or your locked limit if not — is exactly the limit price that goes into the order when you Send. Switching the order type dropdown away from LMT (to MKT, REL, MIT, LIT, etc.) changes how that price field is used, and market orders in particular ignore it.</w:t>
      </w:r>
    </w:p>
    <w:p>
      <w:pPr>
        <w:pStyle w:val="BodyText"/>
      </w:pPr>
      <w:r>
        <w:t>Getting a limit order filled generally means the underlying and/or IV need to move in your favor first — the Sensitivity tool (toolstrip dropdown, next to Executions) makes that concrete instead of a guess. It plots your combo's theoretical price minus your entered limit price as a rotatable 3D surface across a range of underlying and IV moves:</w:t>
      </w:r>
    </w:p>
    <w:p>
      <w:pPr>
        <w:pStyle w:val="BodyText"/>
        <w:numPr>
          <w:ilvl w:val="0"/>
          <w:numId w:val="1"/>
        </w:numPr>
      </w:pPr>
      <w:r>
        <w:t>Und x / IV +/-% set the axis ranges (defaults: 1000 minTicks, ±0.5% IV); Calc/Draw builds the surface, Hide returns to the message log, Reset Zoom clears any scroll-wheel zoom.</w:t>
      </w:r>
    </w:p>
    <w:p>
      <w:pPr>
        <w:pStyle w:val="BodyText"/>
        <w:numPr>
          <w:ilvl w:val="0"/>
          <w:numId w:val="1"/>
        </w:numPr>
      </w:pPr>
      <w:r>
        <w:t>The black crosshair marks “no move” (today's actual price/IV); the green line is the fill boundary — the exact combination of moves where Theo equals your Limit. Blue means closer to marketable, red means further away.</w:t>
      </w:r>
    </w:p>
    <w:p>
      <w:pPr>
        <w:pStyle w:val="BodyText"/>
        <w:numPr>
          <w:ilvl w:val="0"/>
          <w:numId w:val="1"/>
        </w:numPr>
      </w:pPr>
      <w:r>
        <w:t>Click anywhere on the surface for the exact Theo/Limit values at that point and a LIKELY/UNLIKELY verdict for your order's direction; drag to rotate, scroll to zoom.</w:t>
      </w:r>
    </w:p>
    <w:p>
      <w:pPr>
        <w:pStyle w:val="BodyText"/>
      </w:pPr>
      <w:r>
        <w:t>The surface auto-refreshes every second while visible, off the same live quotes as the combo grid — so it's live sanity-checking, not a one-off snapshot.</w:t>
      </w:r>
    </w:p>
    <w:p>
      <w:pPr>
        <w:pStyle w:val="Heading2"/>
      </w:pPr>
      <w:r>
        <w:t>Canonical Combo Sizing</w:t>
      </w:r>
    </w:p>
    <w:p>
      <w:pPr>
        <w:pStyle w:val="BodyText"/>
      </w:pPr>
      <w:r>
        <w:t>IB always prefers a combo submitted at its smallest whole-number ratio with a multiplier, rather than one leg quantity per unit of size. If you built a 10-lot butterfly (say, 10 / -20 / 10 contracts), sending it as literally 10/-20/10 isn't how IB wants to see it: it wants the 1/-2/1 ratio sent once, with a combo multiplier of 10 telling IB to repeat that unit ten times.</w:t>
      </w:r>
    </w:p>
    <w:p>
      <w:pPr>
        <w:pStyle w:val="BodyText"/>
      </w:pPr>
      <w:r>
        <w:t>Commit does this reduction for you automatically. It looks at every leg's quantity (option legs and, if present, the underlying leg's own share count together) and finds the largest size all of them reduce evenly to: if every leg's size is an exact multiple of the smallest one, that smallest size becomes the canonical unit and the quantity/multiplier control is set to how many times it repeats; if the sizes don't share a common factor that way, it falls back to a multiplier of 1 (no reduction) rather than guessing. Increasing the multiplier from there scales the whole combo up while keeping every leg's ratio intact, exactly as IB expects.</w:t>
      </w:r>
    </w:p>
    <w:p>
      <w:pPr>
        <w:pStyle w:val="Heading2"/>
      </w:pPr>
      <w:r>
        <w:t>How It Fits Your Workflow</w:t>
      </w:r>
    </w:p>
    <w:p>
      <w:pPr>
        <w:pStyle w:val="BodyText"/>
        <w:numPr>
          <w:ilvl w:val="0"/>
          <w:numId w:val="2"/>
        </w:numPr>
      </w:pPr>
      <w:r>
        <w:t>From the OA, press T (or Ctrl-C) to open Commit once you have model legs or a valid risk-graph position to send.</w:t>
      </w:r>
    </w:p>
    <w:p>
      <w:pPr>
        <w:pStyle w:val="BodyText"/>
        <w:numPr>
          <w:ilvl w:val="0"/>
          <w:numId w:val="2"/>
        </w:numPr>
      </w:pPr>
      <w:r>
        <w:t>Review the combo grid — legs, strikes, quantities, buy/sell direction — and the underlying grid if this includes a stock/futures leg; Commit sends combo and underlying orders separately.</w:t>
      </w:r>
    </w:p>
    <w:p>
      <w:pPr>
        <w:pStyle w:val="BodyText"/>
        <w:numPr>
          <w:ilvl w:val="0"/>
          <w:numId w:val="2"/>
        </w:numPr>
      </w:pPr>
      <w:r>
        <w:t>Leave the price unlocked to track the live Mid Price, or click Lock Price to freeze a baseline and dial in your own LMT price with the tick slider. Open Sensitivity if you want to see how far the market needs to move before that limit becomes marketable.</w:t>
      </w:r>
    </w:p>
    <w:p>
      <w:pPr>
        <w:pStyle w:val="BodyText"/>
        <w:numPr>
          <w:ilvl w:val="0"/>
          <w:numId w:val="2"/>
        </w:numPr>
      </w:pPr>
      <w:r>
        <w:t>Set order type, TIF, and routing, then request Margin Impact (What-If) if you want the buying-power estimate before committing.</w:t>
      </w:r>
    </w:p>
    <w:p>
      <w:pPr>
        <w:pStyle w:val="BodyText"/>
        <w:numPr>
          <w:ilvl w:val="0"/>
          <w:numId w:val="2"/>
        </w:numPr>
      </w:pPr>
      <w:r>
        <w:t>Send Order when ready — or Edit Order if you're revising something already working in TWS. It lands in TWS for you to review and transmit there.</w:t>
      </w:r>
    </w:p>
    <w:p>
      <w:pPr>
        <w:pStyle w:val="BodyText"/>
        <w:numPr>
          <w:ilvl w:val="0"/>
          <w:numId w:val="2"/>
        </w:numPr>
      </w:pPr>
      <w:r>
        <w:t>If you just want the position tracked without necessarily sending an order right now (or once it's filled), use Convert to write the selected legs into the Trade Log as a recorded position — the OA then refreshes to show it. Note: conversion is blocked for expired contracts.</w:t>
      </w:r>
    </w:p>
    <w:p>
      <w:pPr>
        <w:pStyle w:val="Heading2"/>
      </w:pPr>
      <w:r>
        <w:t>Related Tools Worth Pairing With It</w:t>
      </w:r>
    </w:p>
    <w:p>
      <w:pPr>
        <w:pStyle w:val="BodyText"/>
        <w:numPr>
          <w:ilvl w:val="0"/>
          <w:numId w:val="1"/>
        </w:numPr>
      </w:pPr>
      <w:r>
        <w:t>The OA window — Commit only ever operates on a model or position built there first; there's no way to start a trade from Commit itself.</w:t>
      </w:r>
    </w:p>
    <w:p>
      <w:pPr>
        <w:pStyle w:val="BodyText"/>
        <w:numPr>
          <w:ilvl w:val="0"/>
          <w:numId w:val="1"/>
        </w:numPr>
      </w:pPr>
      <w:r>
        <w:t>Trade Log / Trade Report — once Convert writes a position, it's the Trade Log driving the OA's live P&amp;L and risk graph from that point on, not the model legs.</w:t>
      </w:r>
    </w:p>
    <w:p>
      <w:pPr>
        <w:pStyle w:val="BodyText"/>
        <w:numPr>
          <w:ilvl w:val="0"/>
          <w:numId w:val="1"/>
        </w:numPr>
      </w:pPr>
      <w:r>
        <w:t>Orders window — every order sent from Commit is tracked there afterward by order id, for edit/cancel/status.</w:t>
      </w:r>
    </w:p>
    <w:p>
      <w:pPr>
        <w:pStyle w:val="Heading2"/>
      </w:pPr>
      <w:r>
        <w:t>Learn More</w:t>
      </w:r>
    </w:p>
    <w:p>
      <w:pPr>
        <w:pStyle w:val="BodyText"/>
        <w:numPr>
          <w:ilvl w:val="0"/>
          <w:numId w:val="1"/>
        </w:numPr>
      </w:pPr>
      <w:hyperlink r:id="rId8">
        <w:r>
          <w:rPr>
            <w:rStyle w:val="Hyperlink"/>
          </w:rPr>
          <w:t>Full documentation site</w:t>
        </w:r>
      </w:hyperlink>
    </w:p>
    <w:p>
      <w:pPr>
        <w:pStyle w:val="BodyText"/>
        <w:numPr>
          <w:ilvl w:val="0"/>
          <w:numId w:val="1"/>
        </w:numPr>
      </w:pPr>
      <w:hyperlink r:id="rId9">
        <w:r>
          <w:rPr>
            <w:rStyle w:val="Hyperlink"/>
          </w:rPr>
          <w:t>Keyboard shortcuts</w:t>
        </w:r>
      </w:hyperlink>
    </w:p>
    <w:p>
      <w:pPr>
        <w:pStyle w:val="BodyText"/>
        <w:numPr>
          <w:ilvl w:val="0"/>
          <w:numId w:val="1"/>
        </w:numPr>
      </w:pPr>
      <w:hyperlink r:id="rId3">
        <w:r>
          <w:rPr>
            <w:rStyle w:val="Hyperlink"/>
          </w:rPr>
          <w:t>YouTube tutorial playlist</w:t>
        </w:r>
      </w:hyperlink>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hyperlink" Target="https://soap2.pages.dev/docs/commit_overview.md.html" TargetMode="External"/><Relationship Id="rId9" Type="http://schemas.openxmlformats.org/officeDocument/2006/relationships/hyperlink" Target="https://soap2.pages.dev/docs/keyboard_shortcuts.md.html" TargetMode="Externa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