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Accounts — How-To Guide</w:t>
      </w:r>
    </w:p>
    <w:p>
      <w:pPr>
        <w:pStyle w:val="Heading2"/>
      </w:pPr>
      <w:r>
        <w:t>What Accounts Does</w:t>
      </w:r>
    </w:p>
    <w:p>
      <w:pPr>
        <w:pStyle w:val="BodyText"/>
      </w:pPr>
      <w:r>
        <w:t>Three related windows live under Settings &amp; Windows (gear icon) → Accounts: Accounts List (SOAP2's own account records — names, currencies, per-security-type fees, and the link to the raw IB account ID TWS uses internally), IB Accounts (a live view straight from the IB API — Account Summary, Account Updates, Positions across all accounts, and Family Codes), and Financial Advisor (aliases, allocation groups, and allocation profiles, for anyone actually managing multiple accounts through an IB Financial Advisor login). Every window you open here (X or its own Hide button) just hides — nothing is lost, so there's no cost to leaving them open.</w:t>
      </w:r>
    </w:p>
    <w:p>
      <w:pPr>
        <w:pStyle w:val="BlockQuotation"/>
      </w:pPr>
      <w:r>
        <w:t>Important: Financial Advisor reads and writes the same underlying configuration TWS's own Configure → Advisor Setup panel does — Save is a real write back to TWS, not a local draft. Double-check an edit before saving it, same as you would in TWS itself.</w:t>
      </w:r>
    </w:p>
    <w:p>
      <w:pPr>
        <w:pStyle w:val="Heading2"/>
      </w:pPr>
      <w:r>
        <w:t>When to Use It</w:t>
      </w:r>
    </w:p>
    <w:p>
      <w:pPr>
        <w:pStyle w:val="BodyText"/>
        <w:numPr>
          <w:ilvl w:val="0"/>
          <w:numId w:val="1"/>
        </w:numPr>
      </w:pPr>
      <w:r>
        <w:t>Giving an IB account a name you'll actually recognize elsewhere in SOAP2 (Trade Log, Orders, allocations) instead of the raw account ID.</w:t>
      </w:r>
    </w:p>
    <w:p>
      <w:pPr>
        <w:pStyle w:val="BodyText"/>
        <w:numPr>
          <w:ilvl w:val="0"/>
          <w:numId w:val="1"/>
        </w:numPr>
      </w:pPr>
      <w:r>
        <w:t>Setting per-account, per-security-type commission fees so P&amp;L/margin calculations use your real cost basis.</w:t>
      </w:r>
    </w:p>
    <w:p>
      <w:pPr>
        <w:pStyle w:val="BodyText"/>
        <w:numPr>
          <w:ilvl w:val="0"/>
          <w:numId w:val="1"/>
        </w:numPr>
      </w:pPr>
      <w:r>
        <w:t>Checking live Net Liq, buying power, or margin figures for any account TWS reports, without leaving SOAP2.</w:t>
      </w:r>
    </w:p>
    <w:p>
      <w:pPr>
        <w:pStyle w:val="BodyText"/>
        <w:numPr>
          <w:ilvl w:val="0"/>
          <w:numId w:val="1"/>
        </w:numPr>
      </w:pPr>
      <w:r>
        <w:t>Managing allocation groups/profiles for a Financial Advisor / managed-account login (Premium).</w:t>
      </w:r>
    </w:p>
    <w:p>
      <w:pPr>
        <w:pStyle w:val="BodyText"/>
        <w:numPr>
          <w:ilvl w:val="0"/>
          <w:numId w:val="1"/>
        </w:numPr>
      </w:pPr>
      <w:r>
        <w:t>Sanity-checking that SOAP2 has correctly matched each raw IB account ID to the row you expect, especially right after connecting with more than one managed account.</w:t>
      </w:r>
    </w:p>
    <w:p>
      <w:pPr>
        <w:pStyle w:val="Heading2"/>
      </w:pPr>
      <w:r>
        <w:t>Accounts List</w:t>
      </w:r>
    </w:p>
    <w:p>
      <w:pPr>
        <w:pStyle w:val="BodyText"/>
      </w:pPr>
      <w:r>
        <w:t>This is where the account Name you see everywhere in SOAP2 lives, separate from the raw ID TWS reports. Grid columns: Name (rename freely — a Demo Account always exists and can't be removed), Currency, Type (DEMO/LIVE/TEST), IB (the raw account ID — hidden by default, use IB Show/Hide to reveal and manually (re)link a row), Default/Active (only one row can be Default), the per-security-type fees (OptFee/FopFee/FutFee/StkFee), and Shareable. Toolbar: New Account, Delete Account, Save List (writes to disk — do this after any edit), Reset List (reloads from disk, discarding unsaved changes).</w:t>
      </w:r>
    </w:p>
    <w:p>
      <w:pPr>
        <w:pStyle w:val="BodyText"/>
      </w:pPr>
      <w:r>
        <w:t>Automatic managed-account matching: every connect, SOAP2 asks TWS which account(s) your login manages and reconciles the answer into this list on its own — you don't need to link anything by hand for the common case. A single account attaches to an existing empty LIVE row if you have one, or gets a new auto-named row otherwise. Multiple accounts (Financial Advisor logins) get matched the same way, one row each, never collapsed together. This is additive-only: reconciliation never removes or unlinks a row, even if TWS momentarily fails to report an account on a given connect.</w:t>
      </w:r>
    </w:p>
    <w:p>
      <w:pPr>
        <w:pStyle w:val="BlockQuotation"/>
      </w:pPr>
      <w:r>
        <w:t>Important: the one case automatic matching can get wrong is if you already had two or more empty, unlinked LIVE rows before connecting and TWS reports two or more new accounts at once — they're matched in list order, which might not be the pairing you intended. Fix it by hand with IB Show/Hide; this doesn't affect the common case of zero or one pre-existing unlinked row.</w:t>
      </w:r>
    </w:p>
    <w:p>
      <w:pPr>
        <w:pStyle w:val="Heading2"/>
      </w:pPr>
      <w:r>
        <w:t>IB Accounts</w:t>
      </w:r>
    </w:p>
    <w:p>
      <w:pPr>
        <w:pStyle w:val="BodyText"/>
      </w:pPr>
      <w:r>
        <w:t>A live view with four tabs: Account Summary (Net Liq, buying power, margin figures, one row per tag per account — populates automatically on connect, Request toggles it manually), Account Updates (live positions and account values for one account, automatically following whichever account is selected in the main toolbar's account dropdown — no extra steps needed to switch), Positions (all accounts) (every open position across every account, one grid), and Family Codes (Request/Clear for IB's family/group code data, relevant mainly to Financial Advisor structures).</w:t>
      </w:r>
    </w:p>
    <w:p>
      <w:pPr>
        <w:pStyle w:val="BodyText"/>
      </w:pPr>
      <w:r>
        <w:t>Note: the Positions and Family Codes grids don't prune stale rows on their own — a closed-to-zero position or a no-longer-current family code stays until you clear it or re-request.</w:t>
      </w:r>
    </w:p>
    <w:p>
      <w:pPr>
        <w:pStyle w:val="Heading2"/>
      </w:pPr>
      <w:r>
        <w:t>Financial Advisor (Premium)</w:t>
      </w:r>
    </w:p>
    <w:p>
      <w:pPr>
        <w:pStyle w:val="BodyText"/>
      </w:pPr>
      <w:r>
        <w:t>Requires Free Trial, Premium, WhiteLabel, or Developer mode — on Freeware/Regular the menu item is visible but disabled, with a tooltip explaining why. Only useful if you actually manage multiple accounts through an IB Financial Advisor login. Aliases are read-only from SOAP2 (Load fetches the current list; edit them in TWS itself); Groups and Profiles support both Load and Save, pushing your edits back to TWS's own FA configuration.</w:t>
      </w:r>
    </w:p>
    <w:p>
      <w:pPr>
        <w:pStyle w:val="Heading2"/>
      </w:pPr>
      <w:r>
        <w:t>How It Fits Your Workflow</w:t>
      </w:r>
    </w:p>
    <w:p>
      <w:pPr>
        <w:pStyle w:val="BodyText"/>
        <w:numPr>
          <w:ilvl w:val="0"/>
          <w:numId w:val="2"/>
        </w:numPr>
      </w:pPr>
      <w:r>
        <w:t>After connecting for the first time (or with a new managed account), open Accounts List and check that automatic matching paired each raw IB ID with the row you expect — rename rows to something recognizable if they came in auto-named.</w:t>
      </w:r>
    </w:p>
    <w:p>
      <w:pPr>
        <w:pStyle w:val="BodyText"/>
        <w:numPr>
          <w:ilvl w:val="0"/>
          <w:numId w:val="2"/>
        </w:numPr>
      </w:pPr>
      <w:r>
        <w:t>Set per-security-type fees on each account so SOAP2's P&amp;L/margin math reflects your real costs.</w:t>
      </w:r>
    </w:p>
    <w:p>
      <w:pPr>
        <w:pStyle w:val="BodyText"/>
        <w:numPr>
          <w:ilvl w:val="0"/>
          <w:numId w:val="2"/>
        </w:numPr>
      </w:pPr>
      <w:r>
        <w:t>Open IB Accounts when you want a live cross-account view — Account Summary for the numbers, Positions for a full cross-account grid, without needing an OA open for each symbol.</w:t>
      </w:r>
    </w:p>
    <w:p>
      <w:pPr>
        <w:pStyle w:val="BodyText"/>
        <w:numPr>
          <w:ilvl w:val="0"/>
          <w:numId w:val="2"/>
        </w:numPr>
      </w:pPr>
      <w:r>
        <w:t>If you manage accounts through a Financial Advisor login, use the Financial Advisor window to review or adjust allocation groups/profiles — but treat Save exactly as you would a change in TWS's Advisor Setup panel.</w:t>
      </w:r>
    </w:p>
    <w:p>
      <w:pPr>
        <w:pStyle w:val="BodyText"/>
        <w:numPr>
          <w:ilvl w:val="0"/>
          <w:numId w:val="2"/>
        </w:numPr>
      </w:pPr>
      <w:r>
        <w:t>If something about multi-account matching looks off, use IB Show/Hide in Accounts List to relink a row by hand rather than waiting for the next connect to fix it.</w:t>
      </w:r>
    </w:p>
    <w:p>
      <w:pPr>
        <w:pStyle w:val="Heading2"/>
      </w:pPr>
      <w:r>
        <w:t>Related Tools Worth Pairing With It</w:t>
      </w:r>
    </w:p>
    <w:p>
      <w:pPr>
        <w:pStyle w:val="BodyText"/>
        <w:numPr>
          <w:ilvl w:val="0"/>
          <w:numId w:val="1"/>
        </w:numPr>
      </w:pPr>
      <w:r>
        <w:t>Trade Log — every trade is filed under an account name set here; get the naming right first.</w:t>
      </w:r>
    </w:p>
    <w:p>
      <w:pPr>
        <w:pStyle w:val="BodyText"/>
        <w:numPr>
          <w:ilvl w:val="0"/>
          <w:numId w:val="1"/>
        </w:numPr>
      </w:pPr>
      <w:r>
        <w:t>Commit — order placement uses the account selected in the main toolbar, sourced from this same Accounts List.</w:t>
      </w:r>
    </w:p>
    <w:p>
      <w:pPr>
        <w:pStyle w:val="BodyText"/>
        <w:numPr>
          <w:ilvl w:val="0"/>
          <w:numId w:val="1"/>
        </w:numPr>
      </w:pPr>
      <w:r>
        <w:t>General Settings — the account type (RegT/PM/Cash) used to estimate a standalone underlying leg's cost is a global default there, separate from the per-account fee fields here.</w:t>
      </w:r>
    </w:p>
    <w:p>
      <w:pPr>
        <w:pStyle w:val="Heading2"/>
      </w:pPr>
      <w:r>
        <w:t>Learn More</w:t>
      </w:r>
    </w:p>
    <w:p>
      <w:pPr>
        <w:pStyle w:val="BodyText"/>
        <w:numPr>
          <w:ilvl w:val="0"/>
          <w:numId w:val="1"/>
        </w:numPr>
      </w:pPr>
      <w:hyperlink r:id="rId8">
        <w:r>
          <w:rPr>
            <w:rStyle w:val="Hyperlink"/>
          </w:rPr>
          <w:t>Full documentation site</w:t>
        </w:r>
      </w:hyperlink>
    </w:p>
    <w:p>
      <w:pPr>
        <w:pStyle w:val="BodyText"/>
        <w:numPr>
          <w:ilvl w:val="0"/>
          <w:numId w:val="1"/>
        </w:numPr>
      </w:pPr>
      <w:hyperlink r:id="rId9">
        <w:r>
          <w:rPr>
            <w:rStyle w:val="Hyperlink"/>
          </w:rPr>
          <w:t>Licensing &amp; Editions</w:t>
        </w:r>
      </w:hyperlink>
    </w:p>
    <w:p>
      <w:pPr>
        <w:pStyle w:val="BodyText"/>
        <w:numPr>
          <w:ilvl w:val="0"/>
          <w:numId w:val="1"/>
        </w:numPr>
      </w:pPr>
      <w:hyperlink r:id="rId10">
        <w:r>
          <w:rPr>
            <w:rStyle w:val="Hyperlink"/>
          </w:rPr>
          <w:t>Settings &amp; Windows menu overview</w:t>
        </w:r>
      </w:hyperlink>
    </w:p>
    <w:p>
      <w:pPr>
        <w:pStyle w:val="BodyText"/>
        <w:numPr>
          <w:ilvl w:val="0"/>
          <w:numId w:val="1"/>
        </w:numPr>
      </w:pPr>
      <w:hyperlink r:id="rId3">
        <w:r>
          <w:rPr>
            <w:rStyle w:val="Hyperlink"/>
          </w:rPr>
          <w:t>YouTube tutorial playlist</w:t>
        </w:r>
      </w:hyperlink>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hyperlink" Target="https://soap2.pages.dev/docs/accounts_user_guide.md.html" TargetMode="External"/><Relationship Id="rId9" Type="http://schemas.openxmlformats.org/officeDocument/2006/relationships/hyperlink" Target="https://soap2.pages.dev/docs/licensing_user_guide.md.html" TargetMode="External"/><Relationship Id="rId10" Type="http://schemas.openxmlformats.org/officeDocument/2006/relationships/hyperlink" Target="https://soap2.pages.dev/docs/settings_tutorial.md.html" TargetMode="Externa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